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9" w:rsidRDefault="00F76399" w:rsidP="00F7639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Заключение </w:t>
      </w:r>
    </w:p>
    <w:p w:rsidR="00F76399" w:rsidRDefault="00F76399" w:rsidP="00F7639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Контрольно-счетной палаты</w:t>
      </w:r>
    </w:p>
    <w:p w:rsidR="00F76399" w:rsidRDefault="00F76399" w:rsidP="00F7639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76399" w:rsidRDefault="00F76399" w:rsidP="00F76399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Алагирского района на годовой отчет об исполнении бюджета  Мизурского сельского поселения за 202</w:t>
      </w:r>
      <w:r w:rsidR="00C72738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год по результатам внешней проверки годовой бюджетной отчетности</w:t>
      </w:r>
    </w:p>
    <w:p w:rsidR="00F76399" w:rsidRDefault="00F76399" w:rsidP="00F763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6399" w:rsidRPr="00FA20A5" w:rsidRDefault="00C72738" w:rsidP="00F76399">
      <w:pPr>
        <w:tabs>
          <w:tab w:val="left" w:pos="8326"/>
        </w:tabs>
        <w:spacing w:line="379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02</w:t>
      </w:r>
      <w:r w:rsidR="00F76399" w:rsidRPr="00FA20A5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F76399" w:rsidRPr="00FA20A5">
        <w:rPr>
          <w:rFonts w:ascii="Times New Roman" w:eastAsia="Times New Roman" w:hAnsi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76399" w:rsidRPr="00FA20A5">
        <w:rPr>
          <w:rFonts w:ascii="Times New Roman" w:eastAsia="Times New Roman" w:hAnsi="Times New Roman"/>
          <w:b/>
          <w:sz w:val="28"/>
          <w:szCs w:val="28"/>
        </w:rPr>
        <w:t>г.</w:t>
      </w:r>
      <w:r w:rsidR="00F76399">
        <w:rPr>
          <w:rFonts w:ascii="Times New Roman" w:eastAsia="Times New Roman" w:hAnsi="Times New Roman"/>
          <w:sz w:val="24"/>
        </w:rPr>
        <w:tab/>
      </w:r>
      <w:r w:rsidR="00F76399" w:rsidRPr="00FA20A5">
        <w:rPr>
          <w:rFonts w:ascii="Times New Roman" w:eastAsia="Times New Roman" w:hAnsi="Times New Roman"/>
          <w:b/>
          <w:sz w:val="28"/>
          <w:szCs w:val="28"/>
        </w:rPr>
        <w:t>г.Алагир.</w:t>
      </w:r>
    </w:p>
    <w:p w:rsidR="00F76399" w:rsidRDefault="00F76399" w:rsidP="00F76399">
      <w:pPr>
        <w:spacing w:line="232" w:lineRule="auto"/>
        <w:ind w:left="20" w:right="20" w:firstLine="708"/>
        <w:jc w:val="both"/>
        <w:rPr>
          <w:rFonts w:ascii="Times New Roman" w:eastAsia="Times New Roman" w:hAnsi="Times New Roman"/>
          <w:b/>
          <w:sz w:val="28"/>
        </w:rPr>
      </w:pPr>
    </w:p>
    <w:p w:rsidR="00F76399" w:rsidRDefault="00F76399" w:rsidP="00653828">
      <w:pPr>
        <w:spacing w:line="232" w:lineRule="auto"/>
        <w:ind w:left="20" w:right="20" w:firstLine="4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Основание для проведения проверки</w:t>
      </w:r>
      <w:r>
        <w:rPr>
          <w:rFonts w:ascii="Times New Roman" w:eastAsia="Times New Roman" w:hAnsi="Times New Roman"/>
          <w:sz w:val="28"/>
        </w:rPr>
        <w:t>: статья 264.4 Бюджетного кодекса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Федерации, Решение  Собрания представителей Алагирского района  № 5-33-9  от  24.12.2015г об утверждении Положения «О Контрольно-счётной палате  Алагирского района», Соглашение о передаче полномочий  по осуществлению внешнего муниципального финансового контроля №</w:t>
      </w:r>
      <w:r w:rsidR="00C7273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9 от 09.07.2016 года, план работы Контрольно-счётной палаты  Алагирского  района на 202</w:t>
      </w:r>
      <w:r w:rsidR="00C72738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год.</w:t>
      </w:r>
    </w:p>
    <w:p w:rsidR="00F76399" w:rsidRDefault="00F76399" w:rsidP="00F76399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76399" w:rsidRDefault="00F76399" w:rsidP="00653828">
      <w:pPr>
        <w:spacing w:line="237" w:lineRule="auto"/>
        <w:ind w:left="20" w:right="20" w:hanging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Цель проверки: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соответствие годового отчета об исполнении бюджета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Администрации  Мизурского сельского поселения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191н. Установление полноты и достоверности отчета об исполнении бюджета  Мизурского сельского поселения, а также установление соответствия фактического исполнения бюджета его плановым назначениям, утвержденными  решением    Мизурского сельского поселения.</w:t>
      </w:r>
    </w:p>
    <w:p w:rsidR="00F76399" w:rsidRDefault="00F76399" w:rsidP="00F7639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FA20A5" w:rsidRDefault="00F76399" w:rsidP="00F76399">
      <w:pPr>
        <w:spacing w:line="235" w:lineRule="auto"/>
        <w:ind w:left="20" w:right="20" w:firstLine="12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</w:p>
    <w:p w:rsidR="00F76399" w:rsidRDefault="00653828" w:rsidP="00F76399">
      <w:pPr>
        <w:tabs>
          <w:tab w:val="left" w:pos="4661"/>
          <w:tab w:val="left" w:pos="7701"/>
        </w:tabs>
        <w:spacing w:line="0" w:lineRule="atLeast"/>
        <w:ind w:left="142" w:hanging="142"/>
        <w:rPr>
          <w:rFonts w:ascii="Times New Roman" w:eastAsia="Times New Roman" w:hAnsi="Times New Roman"/>
          <w:sz w:val="28"/>
          <w:szCs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t>С</w:t>
      </w:r>
      <w:r w:rsidR="00F76399">
        <w:rPr>
          <w:rFonts w:ascii="Times New Roman" w:eastAsia="Times New Roman" w:hAnsi="Times New Roman"/>
          <w:b/>
          <w:sz w:val="28"/>
        </w:rPr>
        <w:t>рок проведения проверки</w:t>
      </w:r>
      <w:r w:rsidR="00F76399">
        <w:rPr>
          <w:rFonts w:ascii="Times New Roman" w:eastAsia="Times New Roman" w:hAnsi="Times New Roman"/>
          <w:b/>
          <w:sz w:val="28"/>
          <w:szCs w:val="28"/>
        </w:rPr>
        <w:t>:</w:t>
      </w:r>
      <w:r w:rsidR="00FA20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76399" w:rsidRPr="00FA20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2738">
        <w:rPr>
          <w:rFonts w:ascii="Times New Roman" w:eastAsia="Times New Roman" w:hAnsi="Times New Roman"/>
          <w:b/>
          <w:sz w:val="28"/>
          <w:szCs w:val="28"/>
        </w:rPr>
        <w:t>29</w:t>
      </w:r>
      <w:r w:rsidR="00F950B7" w:rsidRPr="00FA20A5">
        <w:rPr>
          <w:rFonts w:ascii="Times New Roman" w:eastAsia="Times New Roman" w:hAnsi="Times New Roman"/>
          <w:b/>
          <w:sz w:val="28"/>
          <w:szCs w:val="28"/>
        </w:rPr>
        <w:t>.05.202</w:t>
      </w:r>
      <w:r w:rsidR="00C72738">
        <w:rPr>
          <w:rFonts w:ascii="Times New Roman" w:eastAsia="Times New Roman" w:hAnsi="Times New Roman"/>
          <w:b/>
          <w:sz w:val="28"/>
          <w:szCs w:val="28"/>
        </w:rPr>
        <w:t>3</w:t>
      </w:r>
      <w:r w:rsidR="001F0DD2" w:rsidRPr="00FA20A5">
        <w:rPr>
          <w:rFonts w:ascii="Times New Roman" w:eastAsia="Times New Roman" w:hAnsi="Times New Roman"/>
          <w:b/>
          <w:sz w:val="28"/>
          <w:szCs w:val="28"/>
        </w:rPr>
        <w:t>г.</w:t>
      </w:r>
      <w:r w:rsidR="0013688A" w:rsidRPr="00FA20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6F8C" w:rsidRPr="00FA20A5">
        <w:rPr>
          <w:rFonts w:ascii="Times New Roman" w:eastAsia="Times New Roman" w:hAnsi="Times New Roman"/>
          <w:b/>
          <w:sz w:val="28"/>
          <w:szCs w:val="28"/>
        </w:rPr>
        <w:t>–</w:t>
      </w:r>
      <w:r w:rsidR="00CF70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2738">
        <w:rPr>
          <w:rFonts w:ascii="Times New Roman" w:eastAsia="Times New Roman" w:hAnsi="Times New Roman"/>
          <w:b/>
          <w:sz w:val="28"/>
          <w:szCs w:val="28"/>
        </w:rPr>
        <w:t>02</w:t>
      </w:r>
      <w:r w:rsidR="001F0DD2" w:rsidRPr="00FA20A5">
        <w:rPr>
          <w:rFonts w:ascii="Times New Roman" w:eastAsia="Times New Roman" w:hAnsi="Times New Roman"/>
          <w:b/>
          <w:sz w:val="28"/>
          <w:szCs w:val="28"/>
        </w:rPr>
        <w:t>.</w:t>
      </w:r>
      <w:r w:rsidR="00C72738">
        <w:rPr>
          <w:rFonts w:ascii="Times New Roman" w:eastAsia="Times New Roman" w:hAnsi="Times New Roman"/>
          <w:b/>
          <w:sz w:val="28"/>
          <w:szCs w:val="28"/>
        </w:rPr>
        <w:t>06.</w:t>
      </w:r>
      <w:r w:rsidR="0013688A" w:rsidRPr="00FA20A5">
        <w:rPr>
          <w:rFonts w:ascii="Times New Roman" w:eastAsia="Times New Roman" w:hAnsi="Times New Roman"/>
          <w:b/>
          <w:sz w:val="28"/>
          <w:szCs w:val="28"/>
        </w:rPr>
        <w:t>202</w:t>
      </w:r>
      <w:r w:rsidR="00C72738">
        <w:rPr>
          <w:rFonts w:ascii="Times New Roman" w:eastAsia="Times New Roman" w:hAnsi="Times New Roman"/>
          <w:b/>
          <w:sz w:val="28"/>
          <w:szCs w:val="28"/>
        </w:rPr>
        <w:t>3</w:t>
      </w:r>
      <w:r w:rsidR="0013688A" w:rsidRPr="00FA20A5">
        <w:rPr>
          <w:rFonts w:ascii="Times New Roman" w:eastAsia="Times New Roman" w:hAnsi="Times New Roman"/>
          <w:b/>
          <w:sz w:val="28"/>
          <w:szCs w:val="28"/>
        </w:rPr>
        <w:t>г</w:t>
      </w:r>
      <w:r w:rsidR="001F0DD2" w:rsidRPr="00FA20A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76399" w:rsidRDefault="00F76399" w:rsidP="00F76399">
      <w:pPr>
        <w:spacing w:line="7" w:lineRule="exact"/>
        <w:rPr>
          <w:rFonts w:ascii="Times New Roman" w:eastAsia="Times New Roman" w:hAnsi="Times New Roman"/>
        </w:rPr>
      </w:pPr>
    </w:p>
    <w:p w:rsidR="00FA20A5" w:rsidRDefault="008F2094" w:rsidP="00F76399">
      <w:pPr>
        <w:spacing w:line="0" w:lineRule="atLeast"/>
        <w:ind w:left="142" w:hanging="14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</w:t>
      </w:r>
    </w:p>
    <w:p w:rsidR="00F76399" w:rsidRDefault="00F76399" w:rsidP="00F76399">
      <w:pPr>
        <w:spacing w:line="0" w:lineRule="atLeast"/>
        <w:ind w:left="142" w:hanging="14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Перечень законодательных и других нормативных правовых актов:</w:t>
      </w:r>
    </w:p>
    <w:p w:rsidR="00653828" w:rsidRDefault="00653828" w:rsidP="00F76399">
      <w:pPr>
        <w:spacing w:line="232" w:lineRule="auto"/>
        <w:jc w:val="both"/>
        <w:rPr>
          <w:rFonts w:ascii="Times New Roman" w:eastAsia="Times New Roman" w:hAnsi="Times New Roman"/>
          <w:sz w:val="28"/>
        </w:rPr>
      </w:pPr>
    </w:p>
    <w:p w:rsidR="00F76399" w:rsidRDefault="00F76399" w:rsidP="00F76399">
      <w:pPr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Бюджетный </w:t>
      </w:r>
      <w:r w:rsidR="001F0DD2"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одекс Российской Федерации;</w:t>
      </w:r>
    </w:p>
    <w:p w:rsidR="00F76399" w:rsidRDefault="00F76399" w:rsidP="00F76399">
      <w:pPr>
        <w:spacing w:line="3" w:lineRule="exact"/>
        <w:jc w:val="both"/>
        <w:rPr>
          <w:rFonts w:ascii="Times New Roman" w:eastAsia="Times New Roman" w:hAnsi="Times New Roman"/>
        </w:rPr>
      </w:pPr>
    </w:p>
    <w:p w:rsidR="00F76399" w:rsidRDefault="00670604" w:rsidP="00F76399">
      <w:pPr>
        <w:spacing w:line="13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</w:p>
    <w:p w:rsidR="00F76399" w:rsidRDefault="00F76399" w:rsidP="00F76399">
      <w:pPr>
        <w:spacing w:line="235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191н;</w:t>
      </w:r>
    </w:p>
    <w:p w:rsidR="00F76399" w:rsidRDefault="00CF7038" w:rsidP="00CF7038">
      <w:pPr>
        <w:spacing w:line="235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</w:t>
      </w:r>
      <w:r w:rsidR="00F76399">
        <w:rPr>
          <w:rFonts w:ascii="Times New Roman" w:eastAsia="Times New Roman" w:hAnsi="Times New Roman"/>
          <w:sz w:val="28"/>
        </w:rPr>
        <w:t xml:space="preserve">тчетность  по  исполнению  бюджета </w:t>
      </w:r>
      <w:r>
        <w:rPr>
          <w:rFonts w:ascii="Times New Roman" w:eastAsia="Times New Roman" w:hAnsi="Times New Roman"/>
          <w:sz w:val="28"/>
        </w:rPr>
        <w:t xml:space="preserve">сельского </w:t>
      </w:r>
      <w:r w:rsidR="00F76399">
        <w:rPr>
          <w:rFonts w:ascii="Times New Roman" w:eastAsia="Times New Roman" w:hAnsi="Times New Roman"/>
          <w:sz w:val="28"/>
        </w:rPr>
        <w:t xml:space="preserve"> поселения предоставляется на проведения экспертно-аналитического мероприятия  в Контрольно-счетную палату </w:t>
      </w:r>
      <w:r w:rsidR="001F0DD2">
        <w:rPr>
          <w:rFonts w:ascii="Times New Roman" w:eastAsia="Times New Roman" w:hAnsi="Times New Roman"/>
          <w:sz w:val="28"/>
        </w:rPr>
        <w:t xml:space="preserve">района </w:t>
      </w:r>
      <w:r w:rsidR="00F76399">
        <w:rPr>
          <w:rFonts w:ascii="Times New Roman" w:eastAsia="Times New Roman" w:hAnsi="Times New Roman"/>
          <w:sz w:val="28"/>
        </w:rPr>
        <w:t xml:space="preserve"> в соответствии с   Бюджетным  кодексом  Российской Федерации  определен статьей 264.1, включает в  следующий перечень:</w:t>
      </w:r>
    </w:p>
    <w:p w:rsidR="00F76399" w:rsidRDefault="00653828" w:rsidP="00653828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F76399">
        <w:rPr>
          <w:rFonts w:ascii="Times New Roman" w:eastAsia="Times New Roman" w:hAnsi="Times New Roman"/>
          <w:sz w:val="28"/>
        </w:rPr>
        <w:t>отчет об исполнении бюджета за текущий и предыдущий периоды в бумажном и электронном виде;</w:t>
      </w:r>
    </w:p>
    <w:p w:rsidR="00F76399" w:rsidRDefault="00653828" w:rsidP="00653828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76399">
        <w:rPr>
          <w:rFonts w:ascii="Times New Roman" w:eastAsia="Times New Roman" w:hAnsi="Times New Roman"/>
          <w:sz w:val="28"/>
        </w:rPr>
        <w:t>баланс исполнения бюджета;</w:t>
      </w:r>
    </w:p>
    <w:p w:rsidR="00F76399" w:rsidRDefault="00653828" w:rsidP="00653828">
      <w:pPr>
        <w:spacing w:line="237" w:lineRule="auto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76399">
        <w:rPr>
          <w:rFonts w:ascii="Times New Roman" w:eastAsia="Times New Roman" w:hAnsi="Times New Roman"/>
          <w:sz w:val="28"/>
        </w:rPr>
        <w:t>отчет о финансовых результатах деятельности;</w:t>
      </w:r>
    </w:p>
    <w:p w:rsidR="00F76399" w:rsidRDefault="00653828" w:rsidP="00653828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76399">
        <w:rPr>
          <w:rFonts w:ascii="Times New Roman" w:eastAsia="Times New Roman" w:hAnsi="Times New Roman"/>
          <w:sz w:val="28"/>
        </w:rPr>
        <w:t>отчет о движении денежных средств;</w:t>
      </w:r>
    </w:p>
    <w:p w:rsidR="00F76399" w:rsidRDefault="00653828" w:rsidP="00653828">
      <w:pPr>
        <w:spacing w:line="237" w:lineRule="auto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76399">
        <w:rPr>
          <w:rFonts w:ascii="Times New Roman" w:eastAsia="Times New Roman" w:hAnsi="Times New Roman"/>
          <w:sz w:val="28"/>
        </w:rPr>
        <w:t xml:space="preserve">пояснительную записку по (ф.0503160). </w:t>
      </w:r>
    </w:p>
    <w:p w:rsidR="00F76399" w:rsidRDefault="00F76399" w:rsidP="00F76399">
      <w:pPr>
        <w:spacing w:line="16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spacing w:line="237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Объем бюджетной отчетности  определен пунктом 11.2</w:t>
      </w:r>
      <w:r w:rsidR="007526C8">
        <w:rPr>
          <w:rFonts w:ascii="Times New Roman" w:eastAsia="Times New Roman" w:hAnsi="Times New Roman"/>
          <w:sz w:val="28"/>
        </w:rPr>
        <w:t xml:space="preserve"> Инструкции  МинФин РФ </w:t>
      </w:r>
      <w:r>
        <w:rPr>
          <w:rFonts w:ascii="Times New Roman" w:eastAsia="Times New Roman" w:hAnsi="Times New Roman"/>
          <w:sz w:val="28"/>
        </w:rPr>
        <w:t xml:space="preserve">  </w:t>
      </w:r>
      <w:r w:rsidR="007526C8"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z w:val="28"/>
        </w:rPr>
        <w:t xml:space="preserve">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7526C8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, утвержденной приказом Министерства финансов РФ от 28.12.2010 №191н (далее – Инструкция №191н).  </w:t>
      </w:r>
    </w:p>
    <w:p w:rsidR="00F76399" w:rsidRDefault="00F76399" w:rsidP="00F76399">
      <w:pPr>
        <w:spacing w:line="24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spacing w:line="19" w:lineRule="exact"/>
        <w:rPr>
          <w:rFonts w:ascii="Times New Roman" w:eastAsia="Times New Roman" w:hAnsi="Times New Roman"/>
        </w:rPr>
      </w:pPr>
    </w:p>
    <w:p w:rsidR="003F7DB7" w:rsidRPr="003F7DB7" w:rsidRDefault="00F76399" w:rsidP="008B641D">
      <w:pPr>
        <w:numPr>
          <w:ilvl w:val="0"/>
          <w:numId w:val="3"/>
        </w:numPr>
        <w:tabs>
          <w:tab w:val="left" w:pos="967"/>
        </w:tabs>
        <w:spacing w:line="232" w:lineRule="auto"/>
        <w:ind w:left="1" w:firstLine="283"/>
        <w:jc w:val="both"/>
        <w:rPr>
          <w:rFonts w:ascii="Times New Roman" w:eastAsia="Times New Roman" w:hAnsi="Times New Roman"/>
          <w:i/>
          <w:sz w:val="28"/>
        </w:rPr>
      </w:pPr>
      <w:r w:rsidRPr="003F7DB7">
        <w:rPr>
          <w:rFonts w:ascii="Times New Roman" w:eastAsia="Times New Roman" w:hAnsi="Times New Roman"/>
          <w:sz w:val="28"/>
        </w:rPr>
        <w:t>соответствии с Приказом Министерства финансов РФ от 13.06.1995г. № 49 «Об утверждении Методических указаний по инвентаризации имущества и</w:t>
      </w:r>
      <w:r w:rsidR="008C1D97" w:rsidRPr="003F7DB7">
        <w:rPr>
          <w:rFonts w:ascii="Times New Roman" w:eastAsia="Times New Roman" w:hAnsi="Times New Roman"/>
          <w:sz w:val="28"/>
        </w:rPr>
        <w:t xml:space="preserve"> </w:t>
      </w:r>
      <w:bookmarkStart w:id="1" w:name="page4"/>
      <w:bookmarkEnd w:id="1"/>
      <w:r w:rsidRPr="003F7DB7">
        <w:rPr>
          <w:rFonts w:ascii="Times New Roman" w:eastAsia="Times New Roman" w:hAnsi="Times New Roman"/>
          <w:sz w:val="28"/>
        </w:rPr>
        <w:t xml:space="preserve">финансовых обязательств» и пункта 7 Инструкции № 191н перед составлением годовой бухгалтерской отчетности инвентаризации подлежат  имущество и обязательства. Акт  проведения  инвентаризации имущества и финансовых обязательств поселения  перед составлением годовой бухгалтерской отчетности (распоряжение №32-рг от 06.12.2019 года)  представлен не был, в  пояснительной записке (ф.0503160)  информация по </w:t>
      </w:r>
      <w:r w:rsidR="00F47F86" w:rsidRPr="003F7DB7">
        <w:rPr>
          <w:rFonts w:ascii="Times New Roman" w:eastAsia="Times New Roman" w:hAnsi="Times New Roman"/>
          <w:sz w:val="28"/>
        </w:rPr>
        <w:t xml:space="preserve">проведению </w:t>
      </w:r>
      <w:r w:rsidR="005053D1" w:rsidRPr="003F7DB7">
        <w:rPr>
          <w:rFonts w:ascii="Times New Roman" w:eastAsia="Times New Roman" w:hAnsi="Times New Roman"/>
          <w:sz w:val="28"/>
        </w:rPr>
        <w:t xml:space="preserve"> инвентаризации</w:t>
      </w:r>
      <w:r w:rsidR="00F47F86" w:rsidRPr="003F7DB7">
        <w:rPr>
          <w:rFonts w:ascii="Times New Roman" w:eastAsia="Times New Roman" w:hAnsi="Times New Roman"/>
          <w:sz w:val="28"/>
        </w:rPr>
        <w:t xml:space="preserve">  отсутствует. Отсутствие акта инвентаризации  ведет к искажению  бухгалтерской отчетности</w:t>
      </w:r>
      <w:r w:rsidR="003F7DB7">
        <w:rPr>
          <w:rFonts w:ascii="Times New Roman" w:eastAsia="Times New Roman" w:hAnsi="Times New Roman"/>
          <w:sz w:val="28"/>
        </w:rPr>
        <w:t xml:space="preserve">.    </w:t>
      </w:r>
    </w:p>
    <w:p w:rsidR="00F76399" w:rsidRPr="003F7DB7" w:rsidRDefault="003F7DB7" w:rsidP="008B641D">
      <w:pPr>
        <w:numPr>
          <w:ilvl w:val="0"/>
          <w:numId w:val="3"/>
        </w:numPr>
        <w:tabs>
          <w:tab w:val="left" w:pos="967"/>
        </w:tabs>
        <w:spacing w:line="232" w:lineRule="auto"/>
        <w:ind w:left="1" w:firstLine="283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="00F76399" w:rsidRPr="003F7DB7">
        <w:rPr>
          <w:rFonts w:ascii="Times New Roman" w:eastAsia="Times New Roman" w:hAnsi="Times New Roman"/>
          <w:sz w:val="28"/>
        </w:rPr>
        <w:t xml:space="preserve">оответствии </w:t>
      </w:r>
      <w:r w:rsidR="00205E4C" w:rsidRPr="003F7DB7">
        <w:rPr>
          <w:rFonts w:ascii="Times New Roman" w:eastAsia="Times New Roman" w:hAnsi="Times New Roman"/>
          <w:sz w:val="28"/>
        </w:rPr>
        <w:t xml:space="preserve"> </w:t>
      </w:r>
      <w:r w:rsidR="00F76399" w:rsidRPr="003F7DB7">
        <w:rPr>
          <w:rFonts w:ascii="Times New Roman" w:eastAsia="Times New Roman" w:hAnsi="Times New Roman"/>
          <w:sz w:val="28"/>
        </w:rPr>
        <w:t xml:space="preserve">с п.8 </w:t>
      </w:r>
      <w:r w:rsidR="00205E4C" w:rsidRPr="003F7DB7">
        <w:rPr>
          <w:rFonts w:ascii="Times New Roman" w:eastAsia="Times New Roman" w:hAnsi="Times New Roman"/>
          <w:sz w:val="28"/>
        </w:rPr>
        <w:t xml:space="preserve"> И</w:t>
      </w:r>
      <w:r w:rsidR="00F76399" w:rsidRPr="003F7DB7">
        <w:rPr>
          <w:rFonts w:ascii="Times New Roman" w:eastAsia="Times New Roman" w:hAnsi="Times New Roman"/>
          <w:sz w:val="28"/>
        </w:rPr>
        <w:t>нструкции 191</w:t>
      </w:r>
      <w:r w:rsidR="00205E4C" w:rsidRPr="003F7DB7">
        <w:rPr>
          <w:rFonts w:ascii="Times New Roman" w:eastAsia="Times New Roman" w:hAnsi="Times New Roman"/>
          <w:sz w:val="28"/>
        </w:rPr>
        <w:t>-</w:t>
      </w:r>
      <w:r w:rsidR="00F76399" w:rsidRPr="003F7DB7">
        <w:rPr>
          <w:rFonts w:ascii="Times New Roman" w:eastAsia="Times New Roman" w:hAnsi="Times New Roman"/>
          <w:sz w:val="28"/>
        </w:rPr>
        <w:t xml:space="preserve">н формы бюджетной отчетности, которые не имеют числового значения, не составлялись,  сведения  о </w:t>
      </w:r>
      <w:r w:rsidR="008C1D97" w:rsidRPr="003F7DB7">
        <w:rPr>
          <w:rFonts w:ascii="Times New Roman" w:eastAsia="Times New Roman" w:hAnsi="Times New Roman"/>
          <w:sz w:val="28"/>
        </w:rPr>
        <w:t>п</w:t>
      </w:r>
      <w:r w:rsidR="00F76399" w:rsidRPr="003F7DB7">
        <w:rPr>
          <w:rFonts w:ascii="Times New Roman" w:eastAsia="Times New Roman" w:hAnsi="Times New Roman"/>
          <w:sz w:val="28"/>
        </w:rPr>
        <w:t>еречне  данных форм бюджетной отчетности  не оговорен</w:t>
      </w:r>
      <w:r w:rsidR="00205E4C" w:rsidRPr="003F7DB7">
        <w:rPr>
          <w:rFonts w:ascii="Times New Roman" w:eastAsia="Times New Roman" w:hAnsi="Times New Roman"/>
          <w:sz w:val="28"/>
        </w:rPr>
        <w:t>ы</w:t>
      </w:r>
      <w:r w:rsidR="00F76399" w:rsidRPr="003F7DB7">
        <w:rPr>
          <w:rFonts w:ascii="Times New Roman" w:eastAsia="Times New Roman" w:hAnsi="Times New Roman"/>
          <w:sz w:val="28"/>
        </w:rPr>
        <w:t xml:space="preserve"> в пояснительной записке к годовому отчету</w:t>
      </w:r>
      <w:r w:rsidR="00F76399" w:rsidRPr="003F7DB7">
        <w:rPr>
          <w:rFonts w:ascii="Times New Roman" w:eastAsia="Times New Roman" w:hAnsi="Times New Roman"/>
          <w:i/>
          <w:sz w:val="28"/>
        </w:rPr>
        <w:t>.</w:t>
      </w:r>
    </w:p>
    <w:p w:rsidR="003F7DB7" w:rsidRDefault="00F76399" w:rsidP="008F3F0E">
      <w:pPr>
        <w:tabs>
          <w:tab w:val="left" w:pos="103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D3BCA"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 xml:space="preserve">Пояснительная записка </w:t>
      </w:r>
      <w:r w:rsidR="00205E4C">
        <w:rPr>
          <w:rFonts w:ascii="Times New Roman" w:eastAsia="Times New Roman" w:hAnsi="Times New Roman"/>
          <w:sz w:val="28"/>
        </w:rPr>
        <w:t xml:space="preserve"> частично </w:t>
      </w:r>
      <w:r w:rsidR="008C1D9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соответствует утвержденной форме </w:t>
      </w:r>
      <w:r w:rsidR="00E97988">
        <w:rPr>
          <w:rFonts w:ascii="Times New Roman" w:eastAsia="Times New Roman" w:hAnsi="Times New Roman"/>
          <w:sz w:val="28"/>
        </w:rPr>
        <w:t>(ф.</w:t>
      </w:r>
      <w:r>
        <w:rPr>
          <w:rFonts w:ascii="Times New Roman" w:eastAsia="Times New Roman" w:hAnsi="Times New Roman"/>
          <w:sz w:val="28"/>
        </w:rPr>
        <w:t>0503160</w:t>
      </w:r>
      <w:r w:rsidR="00E97988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, отсутствовала информация по проведению анализа данных по разделам и статьям. Не указывается информация о первоначальном принятом бюджете и его изменениях в течение года с указанием принятых нормативно правовых актах.  </w:t>
      </w:r>
      <w:r w:rsidR="00CE676B">
        <w:rPr>
          <w:rFonts w:ascii="Times New Roman" w:eastAsia="Times New Roman" w:hAnsi="Times New Roman"/>
          <w:sz w:val="28"/>
        </w:rPr>
        <w:t>В пояснительной записке информация должна быть указана  к</w:t>
      </w:r>
      <w:r w:rsidR="00C72738">
        <w:rPr>
          <w:rFonts w:ascii="Times New Roman" w:eastAsia="Times New Roman" w:hAnsi="Times New Roman"/>
          <w:sz w:val="28"/>
        </w:rPr>
        <w:t xml:space="preserve">ак </w:t>
      </w:r>
      <w:r w:rsidR="00CE676B">
        <w:rPr>
          <w:rFonts w:ascii="Times New Roman" w:eastAsia="Times New Roman" w:hAnsi="Times New Roman"/>
          <w:sz w:val="28"/>
        </w:rPr>
        <w:t>сумма</w:t>
      </w:r>
      <w:r w:rsidR="00C72738">
        <w:rPr>
          <w:rFonts w:ascii="Times New Roman" w:eastAsia="Times New Roman" w:hAnsi="Times New Roman"/>
          <w:sz w:val="28"/>
        </w:rPr>
        <w:t>рно</w:t>
      </w:r>
      <w:r w:rsidR="00CE676B">
        <w:rPr>
          <w:rFonts w:ascii="Times New Roman" w:eastAsia="Times New Roman" w:hAnsi="Times New Roman"/>
          <w:sz w:val="28"/>
        </w:rPr>
        <w:t xml:space="preserve">, так и в процентном соотношении, сравнивая  итоги предыдущего года. </w:t>
      </w:r>
      <w:r w:rsidR="003F7DB7">
        <w:rPr>
          <w:rFonts w:ascii="Times New Roman" w:eastAsia="Times New Roman" w:hAnsi="Times New Roman"/>
          <w:sz w:val="28"/>
        </w:rPr>
        <w:t xml:space="preserve">  </w:t>
      </w:r>
    </w:p>
    <w:p w:rsidR="00FD3BCA" w:rsidRPr="00FD3BCA" w:rsidRDefault="003F7DB7" w:rsidP="008F3F0E">
      <w:pPr>
        <w:tabs>
          <w:tab w:val="left" w:pos="103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CE676B">
        <w:rPr>
          <w:rFonts w:ascii="Times New Roman" w:eastAsia="Times New Roman" w:hAnsi="Times New Roman"/>
          <w:sz w:val="28"/>
        </w:rPr>
        <w:t>Эта информация касается  как  подготовки проекта решения представительного органа  о бюджете на планируемые периоды</w:t>
      </w:r>
      <w:r w:rsidR="00C72738">
        <w:rPr>
          <w:rFonts w:ascii="Times New Roman" w:eastAsia="Times New Roman" w:hAnsi="Times New Roman"/>
          <w:sz w:val="28"/>
        </w:rPr>
        <w:t>,</w:t>
      </w:r>
      <w:r w:rsidR="00CE676B">
        <w:rPr>
          <w:rFonts w:ascii="Times New Roman" w:eastAsia="Times New Roman" w:hAnsi="Times New Roman"/>
          <w:sz w:val="28"/>
        </w:rPr>
        <w:t xml:space="preserve"> так  и проекта решения по исполнению бюджета за отчетный период.</w:t>
      </w:r>
      <w:r w:rsidR="00FD3BCA">
        <w:rPr>
          <w:rFonts w:ascii="Times New Roman" w:eastAsia="Times New Roman" w:hAnsi="Times New Roman"/>
          <w:sz w:val="28"/>
        </w:rPr>
        <w:t xml:space="preserve"> </w:t>
      </w:r>
      <w:r w:rsidR="008F3F0E">
        <w:rPr>
          <w:rFonts w:ascii="Times New Roman" w:eastAsia="Times New Roman" w:hAnsi="Times New Roman"/>
          <w:sz w:val="28"/>
        </w:rPr>
        <w:t xml:space="preserve"> В пояснительной записке указана недостоверная информация по доходам и расходам за 2022 год, а также вместо профицита в сумме 123,7 тыс.руб, указано (</w:t>
      </w:r>
      <w:r w:rsidR="00F47F86">
        <w:rPr>
          <w:rFonts w:ascii="Times New Roman" w:eastAsia="Times New Roman" w:hAnsi="Times New Roman"/>
          <w:sz w:val="28"/>
        </w:rPr>
        <w:t xml:space="preserve">дефицит </w:t>
      </w:r>
      <w:r w:rsidR="008F3F0E">
        <w:rPr>
          <w:rFonts w:ascii="Times New Roman" w:eastAsia="Times New Roman" w:hAnsi="Times New Roman"/>
          <w:sz w:val="28"/>
        </w:rPr>
        <w:t xml:space="preserve"> в сумме 1300,0 тыс.руб). В ходе проверк</w:t>
      </w:r>
      <w:r>
        <w:rPr>
          <w:rFonts w:ascii="Times New Roman" w:eastAsia="Times New Roman" w:hAnsi="Times New Roman"/>
          <w:sz w:val="28"/>
        </w:rPr>
        <w:t xml:space="preserve">и </w:t>
      </w:r>
      <w:r w:rsidR="008F3F0E">
        <w:rPr>
          <w:rFonts w:ascii="Times New Roman" w:eastAsia="Times New Roman" w:hAnsi="Times New Roman"/>
          <w:sz w:val="28"/>
        </w:rPr>
        <w:t xml:space="preserve">  было внесено  исправление.   </w:t>
      </w:r>
      <w:r w:rsidR="00FD3BCA">
        <w:rPr>
          <w:rFonts w:ascii="Times New Roman" w:eastAsia="Times New Roman" w:hAnsi="Times New Roman"/>
          <w:sz w:val="28"/>
        </w:rPr>
        <w:t xml:space="preserve">   </w:t>
      </w:r>
    </w:p>
    <w:p w:rsidR="00115F8E" w:rsidRDefault="00115F8E" w:rsidP="00CB5786">
      <w:pPr>
        <w:spacing w:line="0" w:lineRule="atLeast"/>
        <w:ind w:left="3500" w:hanging="3500"/>
        <w:rPr>
          <w:rFonts w:ascii="Times New Roman" w:eastAsia="Times New Roman" w:hAnsi="Times New Roman"/>
          <w:b/>
          <w:sz w:val="28"/>
        </w:rPr>
      </w:pPr>
    </w:p>
    <w:p w:rsidR="00F76399" w:rsidRPr="00CB5786" w:rsidRDefault="00CB5786" w:rsidP="00CB5786">
      <w:pPr>
        <w:spacing w:line="0" w:lineRule="atLeast"/>
        <w:ind w:left="3500" w:hanging="3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Анализ по исполнению д</w:t>
      </w:r>
      <w:r w:rsidR="00F76399" w:rsidRPr="00CB5786">
        <w:rPr>
          <w:rFonts w:ascii="Times New Roman" w:eastAsia="Times New Roman" w:hAnsi="Times New Roman"/>
          <w:b/>
          <w:sz w:val="28"/>
        </w:rPr>
        <w:t>оход</w:t>
      </w:r>
      <w:r>
        <w:rPr>
          <w:rFonts w:ascii="Times New Roman" w:eastAsia="Times New Roman" w:hAnsi="Times New Roman"/>
          <w:b/>
          <w:sz w:val="28"/>
        </w:rPr>
        <w:t xml:space="preserve">ной части </w:t>
      </w:r>
      <w:r w:rsidR="00F76399" w:rsidRPr="00CB5786">
        <w:rPr>
          <w:rFonts w:ascii="Times New Roman" w:eastAsia="Times New Roman" w:hAnsi="Times New Roman"/>
          <w:b/>
          <w:sz w:val="28"/>
        </w:rPr>
        <w:t xml:space="preserve"> бюджета </w:t>
      </w:r>
      <w:r>
        <w:rPr>
          <w:rFonts w:ascii="Times New Roman" w:eastAsia="Times New Roman" w:hAnsi="Times New Roman"/>
          <w:b/>
          <w:sz w:val="28"/>
        </w:rPr>
        <w:t xml:space="preserve">Мизурского сельского </w:t>
      </w:r>
      <w:r w:rsidR="00F76399" w:rsidRPr="00CB5786">
        <w:rPr>
          <w:rFonts w:ascii="Times New Roman" w:eastAsia="Times New Roman" w:hAnsi="Times New Roman"/>
          <w:b/>
          <w:sz w:val="28"/>
        </w:rPr>
        <w:t>поселения</w:t>
      </w:r>
      <w:r>
        <w:rPr>
          <w:rFonts w:ascii="Times New Roman" w:eastAsia="Times New Roman" w:hAnsi="Times New Roman"/>
          <w:b/>
          <w:sz w:val="28"/>
        </w:rPr>
        <w:t xml:space="preserve"> за 202</w:t>
      </w:r>
      <w:r w:rsidR="00A70C8B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год</w:t>
      </w:r>
      <w:r w:rsidR="00F76399" w:rsidRPr="00CB5786">
        <w:rPr>
          <w:rFonts w:ascii="Times New Roman" w:eastAsia="Times New Roman" w:hAnsi="Times New Roman"/>
          <w:b/>
          <w:sz w:val="28"/>
        </w:rPr>
        <w:t>.</w:t>
      </w:r>
    </w:p>
    <w:p w:rsidR="00F76399" w:rsidRDefault="00F76399" w:rsidP="00F76399">
      <w:pPr>
        <w:spacing w:line="0" w:lineRule="atLeast"/>
        <w:ind w:left="3500"/>
        <w:rPr>
          <w:rFonts w:ascii="Times New Roman" w:eastAsia="Times New Roman" w:hAnsi="Times New Roman"/>
          <w:b/>
          <w:sz w:val="28"/>
          <w:u w:val="single"/>
        </w:rPr>
      </w:pPr>
    </w:p>
    <w:p w:rsidR="00397E28" w:rsidRPr="00FD3BCA" w:rsidRDefault="00397E28" w:rsidP="00397E28">
      <w:pPr>
        <w:spacing w:line="0" w:lineRule="atLeast"/>
        <w:rPr>
          <w:rFonts w:ascii="Times New Roman" w:eastAsia="Times New Roman" w:hAnsi="Times New Roman"/>
          <w:sz w:val="28"/>
        </w:rPr>
      </w:pPr>
      <w:r w:rsidRPr="00FD3BCA">
        <w:rPr>
          <w:rFonts w:ascii="Times New Roman" w:eastAsia="Times New Roman" w:hAnsi="Times New Roman"/>
          <w:sz w:val="28"/>
        </w:rPr>
        <w:t xml:space="preserve">    </w:t>
      </w:r>
      <w:r w:rsidRPr="00090230">
        <w:rPr>
          <w:rFonts w:ascii="Times New Roman" w:eastAsia="Times New Roman" w:hAnsi="Times New Roman"/>
          <w:sz w:val="28"/>
        </w:rPr>
        <w:t xml:space="preserve">Бюджет Мизурского сельского поселения за 2022 год   исполнен по доходам  в сумме </w:t>
      </w:r>
      <w:r w:rsidR="00DA5B22">
        <w:rPr>
          <w:rFonts w:ascii="Times New Roman" w:eastAsia="Times New Roman" w:hAnsi="Times New Roman"/>
          <w:sz w:val="28"/>
        </w:rPr>
        <w:t>7</w:t>
      </w:r>
      <w:r w:rsidR="00E82AE3">
        <w:rPr>
          <w:rFonts w:ascii="Times New Roman" w:eastAsia="Times New Roman" w:hAnsi="Times New Roman"/>
          <w:sz w:val="28"/>
        </w:rPr>
        <w:t> </w:t>
      </w:r>
      <w:r w:rsidR="00DA5B22">
        <w:rPr>
          <w:rFonts w:ascii="Times New Roman" w:eastAsia="Times New Roman" w:hAnsi="Times New Roman"/>
          <w:sz w:val="28"/>
        </w:rPr>
        <w:t>065</w:t>
      </w:r>
      <w:r w:rsidR="00E82AE3">
        <w:rPr>
          <w:rFonts w:ascii="Times New Roman" w:eastAsia="Times New Roman" w:hAnsi="Times New Roman"/>
          <w:sz w:val="28"/>
        </w:rPr>
        <w:t>,</w:t>
      </w:r>
      <w:r w:rsidR="00DA5B22">
        <w:rPr>
          <w:rFonts w:ascii="Times New Roman" w:eastAsia="Times New Roman" w:hAnsi="Times New Roman"/>
          <w:sz w:val="28"/>
        </w:rPr>
        <w:t> </w:t>
      </w:r>
      <w:r w:rsidR="00E82AE3">
        <w:rPr>
          <w:rFonts w:ascii="Times New Roman" w:eastAsia="Times New Roman" w:hAnsi="Times New Roman"/>
          <w:sz w:val="28"/>
        </w:rPr>
        <w:t>5</w:t>
      </w:r>
      <w:r w:rsidR="00DA5B22">
        <w:rPr>
          <w:rFonts w:ascii="Times New Roman" w:eastAsia="Times New Roman" w:hAnsi="Times New Roman"/>
          <w:sz w:val="28"/>
        </w:rPr>
        <w:t>1</w:t>
      </w:r>
      <w:r w:rsidR="00E82AE3">
        <w:rPr>
          <w:rFonts w:ascii="Times New Roman" w:eastAsia="Times New Roman" w:hAnsi="Times New Roman"/>
          <w:sz w:val="28"/>
        </w:rPr>
        <w:t>тыс.</w:t>
      </w:r>
      <w:r w:rsidRPr="00090230">
        <w:rPr>
          <w:rFonts w:ascii="Times New Roman" w:eastAsia="Times New Roman" w:hAnsi="Times New Roman"/>
          <w:sz w:val="28"/>
        </w:rPr>
        <w:t>руб</w:t>
      </w:r>
      <w:r w:rsidR="00E82AE3">
        <w:rPr>
          <w:rFonts w:ascii="Times New Roman" w:eastAsia="Times New Roman" w:hAnsi="Times New Roman"/>
          <w:sz w:val="28"/>
        </w:rPr>
        <w:t>.</w:t>
      </w:r>
      <w:r w:rsidRPr="00090230">
        <w:rPr>
          <w:rFonts w:ascii="Times New Roman" w:eastAsia="Times New Roman" w:hAnsi="Times New Roman"/>
          <w:sz w:val="28"/>
        </w:rPr>
        <w:t xml:space="preserve">,  по расходам  в сумме </w:t>
      </w:r>
      <w:r w:rsidR="00DA5B22">
        <w:rPr>
          <w:rFonts w:ascii="Times New Roman" w:eastAsia="Times New Roman" w:hAnsi="Times New Roman"/>
          <w:sz w:val="28"/>
        </w:rPr>
        <w:t xml:space="preserve"> 6</w:t>
      </w:r>
      <w:r w:rsidR="00E82AE3">
        <w:rPr>
          <w:rFonts w:ascii="Times New Roman" w:eastAsia="Times New Roman" w:hAnsi="Times New Roman"/>
          <w:sz w:val="28"/>
        </w:rPr>
        <w:t> </w:t>
      </w:r>
      <w:r w:rsidR="00DA5B22">
        <w:rPr>
          <w:rFonts w:ascii="Times New Roman" w:eastAsia="Times New Roman" w:hAnsi="Times New Roman"/>
          <w:sz w:val="28"/>
        </w:rPr>
        <w:t>932</w:t>
      </w:r>
      <w:r w:rsidR="00E82AE3">
        <w:rPr>
          <w:rFonts w:ascii="Times New Roman" w:eastAsia="Times New Roman" w:hAnsi="Times New Roman"/>
          <w:sz w:val="28"/>
        </w:rPr>
        <w:t>,87 тыс.</w:t>
      </w:r>
      <w:r w:rsidRPr="00090230">
        <w:rPr>
          <w:rFonts w:ascii="Times New Roman" w:eastAsia="Times New Roman" w:hAnsi="Times New Roman"/>
          <w:sz w:val="28"/>
        </w:rPr>
        <w:t>руб</w:t>
      </w:r>
      <w:r w:rsidR="00E82AE3">
        <w:rPr>
          <w:rFonts w:ascii="Times New Roman" w:eastAsia="Times New Roman" w:hAnsi="Times New Roman"/>
          <w:sz w:val="28"/>
        </w:rPr>
        <w:t>.</w:t>
      </w:r>
      <w:r w:rsidRPr="00090230">
        <w:rPr>
          <w:rFonts w:ascii="Times New Roman" w:eastAsia="Times New Roman" w:hAnsi="Times New Roman"/>
          <w:sz w:val="28"/>
        </w:rPr>
        <w:t xml:space="preserve">, с </w:t>
      </w:r>
      <w:r w:rsidR="00E82AE3">
        <w:rPr>
          <w:rFonts w:ascii="Times New Roman" w:eastAsia="Times New Roman" w:hAnsi="Times New Roman"/>
          <w:sz w:val="28"/>
        </w:rPr>
        <w:t xml:space="preserve">профицитом </w:t>
      </w:r>
      <w:r w:rsidRPr="00090230">
        <w:rPr>
          <w:rFonts w:ascii="Times New Roman" w:eastAsia="Times New Roman" w:hAnsi="Times New Roman"/>
          <w:sz w:val="28"/>
        </w:rPr>
        <w:t xml:space="preserve">  в сумме </w:t>
      </w:r>
      <w:r w:rsidR="00E82AE3">
        <w:rPr>
          <w:rFonts w:ascii="Times New Roman" w:eastAsia="Times New Roman" w:hAnsi="Times New Roman"/>
          <w:sz w:val="28"/>
        </w:rPr>
        <w:t>132,</w:t>
      </w:r>
      <w:r w:rsidR="000B3419">
        <w:rPr>
          <w:rFonts w:ascii="Times New Roman" w:eastAsia="Times New Roman" w:hAnsi="Times New Roman"/>
          <w:sz w:val="28"/>
        </w:rPr>
        <w:t>70</w:t>
      </w:r>
      <w:r w:rsidR="00E82AE3">
        <w:rPr>
          <w:rFonts w:ascii="Times New Roman" w:eastAsia="Times New Roman" w:hAnsi="Times New Roman"/>
          <w:sz w:val="28"/>
        </w:rPr>
        <w:t xml:space="preserve"> тыс.</w:t>
      </w:r>
      <w:r w:rsidRPr="00090230">
        <w:rPr>
          <w:rFonts w:ascii="Times New Roman" w:eastAsia="Times New Roman" w:hAnsi="Times New Roman"/>
          <w:sz w:val="28"/>
        </w:rPr>
        <w:t>руб.</w:t>
      </w:r>
      <w:r w:rsidR="00B77E15">
        <w:rPr>
          <w:rFonts w:ascii="Times New Roman" w:eastAsia="Times New Roman" w:hAnsi="Times New Roman"/>
          <w:sz w:val="28"/>
        </w:rPr>
        <w:t xml:space="preserve">  Доходная часть бюджета исполнена на 104,0%. В сравнении с предыдущим годом сумма доходов уменьшилась на 190,9 тыс.руб. или на 2,6%.</w:t>
      </w:r>
    </w:p>
    <w:p w:rsidR="00F76399" w:rsidRDefault="00F76399" w:rsidP="00115F8E">
      <w:pPr>
        <w:spacing w:line="232" w:lineRule="auto"/>
        <w:ind w:left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Исполнение доходной части бюджета  Мизурского сельского поселения</w:t>
      </w:r>
    </w:p>
    <w:p w:rsidR="00F76399" w:rsidRDefault="00F76399" w:rsidP="00F76399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20</w:t>
      </w:r>
      <w:r w:rsidR="00CB5786">
        <w:rPr>
          <w:rFonts w:ascii="Times New Roman" w:eastAsia="Times New Roman" w:hAnsi="Times New Roman"/>
          <w:sz w:val="28"/>
        </w:rPr>
        <w:t>2</w:t>
      </w:r>
      <w:r w:rsidR="00A70C8B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 характеризуется следующими показателями:</w:t>
      </w:r>
    </w:p>
    <w:p w:rsidR="00421D4B" w:rsidRDefault="00421D4B" w:rsidP="00F76399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421D4B" w:rsidRDefault="00421D4B" w:rsidP="00F76399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421D4B" w:rsidRDefault="00421D4B" w:rsidP="00F76399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A70C8B" w:rsidRDefault="00A70C8B" w:rsidP="00F76399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tbl>
      <w:tblPr>
        <w:tblStyle w:val="a4"/>
        <w:tblW w:w="9940" w:type="dxa"/>
        <w:tblInd w:w="120" w:type="dxa"/>
        <w:tblLook w:val="04A0" w:firstRow="1" w:lastRow="0" w:firstColumn="1" w:lastColumn="0" w:noHBand="0" w:noVBand="1"/>
      </w:tblPr>
      <w:tblGrid>
        <w:gridCol w:w="1990"/>
        <w:gridCol w:w="1691"/>
        <w:gridCol w:w="1572"/>
        <w:gridCol w:w="1343"/>
        <w:gridCol w:w="1747"/>
        <w:gridCol w:w="1597"/>
      </w:tblGrid>
      <w:tr w:rsidR="00272FDA" w:rsidTr="00272FDA">
        <w:tc>
          <w:tcPr>
            <w:tcW w:w="1990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lastRenderedPageBreak/>
              <w:t>Наименование</w:t>
            </w:r>
          </w:p>
        </w:tc>
        <w:tc>
          <w:tcPr>
            <w:tcW w:w="1691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Исполнение</w:t>
            </w:r>
          </w:p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За 2021г.</w:t>
            </w:r>
          </w:p>
        </w:tc>
        <w:tc>
          <w:tcPr>
            <w:tcW w:w="1572" w:type="dxa"/>
          </w:tcPr>
          <w:p w:rsidR="00272FDA" w:rsidRPr="00A63396" w:rsidRDefault="00272FDA" w:rsidP="00421D4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Уточнен.</w:t>
            </w:r>
          </w:p>
          <w:p w:rsidR="00272FDA" w:rsidRPr="00A63396" w:rsidRDefault="00272FDA" w:rsidP="00421D4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План за 2022г.</w:t>
            </w:r>
          </w:p>
        </w:tc>
        <w:tc>
          <w:tcPr>
            <w:tcW w:w="1343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Исполн.</w:t>
            </w:r>
          </w:p>
          <w:p w:rsidR="00272FDA" w:rsidRPr="00A63396" w:rsidRDefault="00272FDA" w:rsidP="00272FDA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за 2022г.</w:t>
            </w:r>
          </w:p>
        </w:tc>
        <w:tc>
          <w:tcPr>
            <w:tcW w:w="1747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Исполнен.</w:t>
            </w:r>
          </w:p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 xml:space="preserve"> план/факт 2022гг. </w:t>
            </w:r>
          </w:p>
          <w:p w:rsidR="00272FDA" w:rsidRPr="00A63396" w:rsidRDefault="00272FDA" w:rsidP="00421D4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 xml:space="preserve">+/-, в % </w:t>
            </w:r>
          </w:p>
        </w:tc>
        <w:tc>
          <w:tcPr>
            <w:tcW w:w="1597" w:type="dxa"/>
          </w:tcPr>
          <w:p w:rsidR="00272FDA" w:rsidRPr="00A63396" w:rsidRDefault="00272FDA" w:rsidP="00272FDA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Изменен.  по исполн. 2021/2022гг +/-, в %</w:t>
            </w:r>
          </w:p>
        </w:tc>
      </w:tr>
      <w:tr w:rsidR="00272FDA" w:rsidTr="00272FDA">
        <w:tc>
          <w:tcPr>
            <w:tcW w:w="1990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Доходы</w:t>
            </w:r>
          </w:p>
        </w:tc>
        <w:tc>
          <w:tcPr>
            <w:tcW w:w="1691" w:type="dxa"/>
          </w:tcPr>
          <w:p w:rsidR="00272FDA" w:rsidRPr="00A63396" w:rsidRDefault="00A63396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7256,4</w:t>
            </w:r>
          </w:p>
        </w:tc>
        <w:tc>
          <w:tcPr>
            <w:tcW w:w="1572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6814,4</w:t>
            </w:r>
          </w:p>
        </w:tc>
        <w:tc>
          <w:tcPr>
            <w:tcW w:w="1343" w:type="dxa"/>
          </w:tcPr>
          <w:p w:rsidR="00272FDA" w:rsidRPr="00A63396" w:rsidRDefault="00A63396" w:rsidP="00CD4A00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CD4A00">
              <w:rPr>
                <w:rFonts w:ascii="Times New Roman" w:eastAsia="Times New Roman" w:hAnsi="Times New Roman"/>
              </w:rPr>
              <w:t>065</w:t>
            </w:r>
            <w:r>
              <w:rPr>
                <w:rFonts w:ascii="Times New Roman" w:eastAsia="Times New Roman" w:hAnsi="Times New Roman"/>
              </w:rPr>
              <w:t>,5</w:t>
            </w:r>
          </w:p>
        </w:tc>
        <w:tc>
          <w:tcPr>
            <w:tcW w:w="1747" w:type="dxa"/>
          </w:tcPr>
          <w:p w:rsidR="00272FDA" w:rsidRPr="00A63396" w:rsidRDefault="00A63396" w:rsidP="00CD4A00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+791,1/1</w:t>
            </w:r>
            <w:r w:rsidR="00CD4A00">
              <w:rPr>
                <w:rFonts w:ascii="Times New Roman" w:eastAsia="Times New Roman" w:hAnsi="Times New Roman"/>
              </w:rPr>
              <w:t>04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97" w:type="dxa"/>
          </w:tcPr>
          <w:p w:rsidR="00272FDA" w:rsidRPr="00A63396" w:rsidRDefault="00CD4A00" w:rsidP="00CD4A00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-103,0</w:t>
            </w:r>
            <w:r w:rsidR="00A63396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2,7</w:t>
            </w:r>
          </w:p>
        </w:tc>
      </w:tr>
      <w:tr w:rsidR="00272FDA" w:rsidTr="00272FDA">
        <w:tc>
          <w:tcPr>
            <w:tcW w:w="1990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Расходы</w:t>
            </w:r>
          </w:p>
        </w:tc>
        <w:tc>
          <w:tcPr>
            <w:tcW w:w="1691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8480,1</w:t>
            </w:r>
          </w:p>
        </w:tc>
        <w:tc>
          <w:tcPr>
            <w:tcW w:w="1572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8114,4</w:t>
            </w:r>
          </w:p>
        </w:tc>
        <w:tc>
          <w:tcPr>
            <w:tcW w:w="1343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6932,8</w:t>
            </w:r>
          </w:p>
        </w:tc>
        <w:tc>
          <w:tcPr>
            <w:tcW w:w="1747" w:type="dxa"/>
          </w:tcPr>
          <w:p w:rsidR="00272FDA" w:rsidRPr="00A63396" w:rsidRDefault="00272FDA" w:rsidP="00272FDA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-1181,6/85,4</w:t>
            </w:r>
          </w:p>
        </w:tc>
        <w:tc>
          <w:tcPr>
            <w:tcW w:w="1597" w:type="dxa"/>
          </w:tcPr>
          <w:p w:rsidR="00272FDA" w:rsidRPr="00A63396" w:rsidRDefault="00A63396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-1547,3/18,2</w:t>
            </w:r>
          </w:p>
        </w:tc>
      </w:tr>
      <w:tr w:rsidR="00272FDA" w:rsidTr="00272FDA">
        <w:tc>
          <w:tcPr>
            <w:tcW w:w="1990" w:type="dxa"/>
          </w:tcPr>
          <w:p w:rsidR="00272FDA" w:rsidRPr="00A63396" w:rsidRDefault="00272FDA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A63396">
              <w:rPr>
                <w:rFonts w:ascii="Times New Roman" w:eastAsia="Times New Roman" w:hAnsi="Times New Roman"/>
              </w:rPr>
              <w:t>Дефицит, профицит +/-</w:t>
            </w:r>
          </w:p>
        </w:tc>
        <w:tc>
          <w:tcPr>
            <w:tcW w:w="1691" w:type="dxa"/>
          </w:tcPr>
          <w:p w:rsidR="00272FDA" w:rsidRPr="00A63396" w:rsidRDefault="00A63396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-1223,7</w:t>
            </w:r>
          </w:p>
        </w:tc>
        <w:tc>
          <w:tcPr>
            <w:tcW w:w="1572" w:type="dxa"/>
          </w:tcPr>
          <w:p w:rsidR="00272FDA" w:rsidRPr="00A63396" w:rsidRDefault="00A63396" w:rsidP="00A70C8B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-1300,0</w:t>
            </w:r>
          </w:p>
        </w:tc>
        <w:tc>
          <w:tcPr>
            <w:tcW w:w="1343" w:type="dxa"/>
          </w:tcPr>
          <w:p w:rsidR="00272FDA" w:rsidRPr="00A63396" w:rsidRDefault="00A63396" w:rsidP="000B3419">
            <w:pPr>
              <w:tabs>
                <w:tab w:val="left" w:pos="7006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  <w:r w:rsidR="000B3419">
              <w:rPr>
                <w:rFonts w:ascii="Times New Roman" w:eastAsia="Times New Roman" w:hAnsi="Times New Roman"/>
              </w:rPr>
              <w:t>132</w:t>
            </w:r>
            <w:r>
              <w:rPr>
                <w:rFonts w:ascii="Times New Roman" w:eastAsia="Times New Roman" w:hAnsi="Times New Roman"/>
              </w:rPr>
              <w:t>,7</w:t>
            </w:r>
          </w:p>
        </w:tc>
        <w:tc>
          <w:tcPr>
            <w:tcW w:w="1747" w:type="dxa"/>
          </w:tcPr>
          <w:p w:rsidR="00272FDA" w:rsidRPr="00A63396" w:rsidRDefault="00CD4A00" w:rsidP="00CD4A00">
            <w:pPr>
              <w:tabs>
                <w:tab w:val="left" w:pos="7006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97" w:type="dxa"/>
          </w:tcPr>
          <w:p w:rsidR="00272FDA" w:rsidRPr="00A63396" w:rsidRDefault="00CD4A00" w:rsidP="00CD4A00">
            <w:pPr>
              <w:tabs>
                <w:tab w:val="left" w:pos="7006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5123AE" w:rsidRDefault="005123AE" w:rsidP="00A70C8B">
      <w:pPr>
        <w:tabs>
          <w:tab w:val="left" w:pos="7006"/>
        </w:tabs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5123AE" w:rsidRDefault="005123AE" w:rsidP="00A70C8B">
      <w:pPr>
        <w:tabs>
          <w:tab w:val="left" w:pos="7006"/>
        </w:tabs>
        <w:spacing w:line="0" w:lineRule="atLeast"/>
        <w:ind w:left="120"/>
        <w:rPr>
          <w:rFonts w:ascii="Times New Roman" w:eastAsia="Times New Roman" w:hAnsi="Times New Roman"/>
          <w:sz w:val="28"/>
        </w:rPr>
      </w:pPr>
    </w:p>
    <w:p w:rsidR="001F5748" w:rsidRDefault="00115F8E" w:rsidP="00A70C8B">
      <w:pPr>
        <w:tabs>
          <w:tab w:val="left" w:pos="7006"/>
        </w:tabs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             </w:t>
      </w:r>
      <w:r w:rsidR="00321C00">
        <w:rPr>
          <w:rFonts w:ascii="Times New Roman" w:eastAsia="Times New Roman" w:hAnsi="Times New Roman"/>
          <w:sz w:val="28"/>
        </w:rPr>
        <w:t xml:space="preserve"> </w:t>
      </w:r>
    </w:p>
    <w:p w:rsidR="00A70C8B" w:rsidRPr="002859B3" w:rsidRDefault="001F5748" w:rsidP="00A70C8B">
      <w:pPr>
        <w:tabs>
          <w:tab w:val="left" w:pos="7006"/>
        </w:tabs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              </w:t>
      </w:r>
      <w:r w:rsidR="00321C00" w:rsidRPr="002859B3">
        <w:rPr>
          <w:rFonts w:ascii="Times New Roman" w:eastAsia="Times New Roman" w:hAnsi="Times New Roman"/>
          <w:sz w:val="22"/>
          <w:szCs w:val="22"/>
        </w:rPr>
        <w:t>Т</w:t>
      </w:r>
      <w:r w:rsidR="00A70C8B" w:rsidRPr="002859B3">
        <w:rPr>
          <w:rFonts w:ascii="Times New Roman" w:eastAsia="Times New Roman" w:hAnsi="Times New Roman"/>
          <w:sz w:val="22"/>
          <w:szCs w:val="22"/>
        </w:rPr>
        <w:t>аблица в тыс.руб.</w:t>
      </w:r>
    </w:p>
    <w:tbl>
      <w:tblPr>
        <w:tblStyle w:val="a4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73"/>
        <w:gridCol w:w="1262"/>
        <w:gridCol w:w="1418"/>
        <w:gridCol w:w="1559"/>
        <w:gridCol w:w="992"/>
      </w:tblGrid>
      <w:tr w:rsidR="00421D4B" w:rsidTr="00421D4B">
        <w:tc>
          <w:tcPr>
            <w:tcW w:w="1985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>Виды доходов</w:t>
            </w:r>
          </w:p>
        </w:tc>
        <w:tc>
          <w:tcPr>
            <w:tcW w:w="1701" w:type="dxa"/>
          </w:tcPr>
          <w:p w:rsidR="00421D4B" w:rsidRPr="002859B3" w:rsidRDefault="00421D4B" w:rsidP="00321C0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>Исполнение    за  2021г.</w:t>
            </w:r>
          </w:p>
        </w:tc>
        <w:tc>
          <w:tcPr>
            <w:tcW w:w="1573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>Уточ.план за 2022г.</w:t>
            </w:r>
          </w:p>
        </w:tc>
        <w:tc>
          <w:tcPr>
            <w:tcW w:w="1262" w:type="dxa"/>
          </w:tcPr>
          <w:p w:rsidR="00421D4B" w:rsidRPr="002859B3" w:rsidRDefault="00421D4B" w:rsidP="00321C0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 xml:space="preserve">Исполнен.. за 2022г. </w:t>
            </w:r>
          </w:p>
        </w:tc>
        <w:tc>
          <w:tcPr>
            <w:tcW w:w="1418" w:type="dxa"/>
          </w:tcPr>
          <w:p w:rsidR="00421D4B" w:rsidRPr="002859B3" w:rsidRDefault="00421D4B" w:rsidP="00A70C8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>Изменение</w:t>
            </w:r>
          </w:p>
          <w:p w:rsidR="00421D4B" w:rsidRPr="002859B3" w:rsidRDefault="00421D4B" w:rsidP="00A70C8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 xml:space="preserve">план/факт +/-, в %  </w:t>
            </w:r>
          </w:p>
        </w:tc>
        <w:tc>
          <w:tcPr>
            <w:tcW w:w="1559" w:type="dxa"/>
          </w:tcPr>
          <w:p w:rsidR="00421D4B" w:rsidRPr="002859B3" w:rsidRDefault="00421D4B" w:rsidP="002859B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859B3">
              <w:rPr>
                <w:rFonts w:ascii="Times New Roman" w:eastAsia="Times New Roman" w:hAnsi="Times New Roman"/>
              </w:rPr>
              <w:t xml:space="preserve">Изменение по исполнению </w:t>
            </w:r>
            <w:r>
              <w:rPr>
                <w:rFonts w:ascii="Times New Roman" w:eastAsia="Times New Roman" w:hAnsi="Times New Roman"/>
              </w:rPr>
              <w:t xml:space="preserve">за </w:t>
            </w:r>
            <w:r w:rsidRPr="002859B3">
              <w:rPr>
                <w:rFonts w:ascii="Times New Roman" w:eastAsia="Times New Roman" w:hAnsi="Times New Roman"/>
              </w:rPr>
              <w:t xml:space="preserve"> 2021/2022гг., +/-, в % </w:t>
            </w:r>
          </w:p>
        </w:tc>
        <w:tc>
          <w:tcPr>
            <w:tcW w:w="992" w:type="dxa"/>
          </w:tcPr>
          <w:p w:rsidR="00421D4B" w:rsidRDefault="00421D4B" w:rsidP="00421D4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Уд.вес</w:t>
            </w:r>
          </w:p>
          <w:p w:rsidR="00421D4B" w:rsidRPr="002859B3" w:rsidRDefault="00421D4B" w:rsidP="00421D4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%</w:t>
            </w:r>
          </w:p>
        </w:tc>
      </w:tr>
      <w:tr w:rsidR="00421D4B" w:rsidTr="00421D4B">
        <w:tc>
          <w:tcPr>
            <w:tcW w:w="1985" w:type="dxa"/>
          </w:tcPr>
          <w:p w:rsidR="00421D4B" w:rsidRPr="005123AE" w:rsidRDefault="00421D4B" w:rsidP="00A70C8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Налоговые и неналоговые  доходы</w:t>
            </w:r>
          </w:p>
        </w:tc>
        <w:tc>
          <w:tcPr>
            <w:tcW w:w="1701" w:type="dxa"/>
          </w:tcPr>
          <w:p w:rsidR="00421D4B" w:rsidRPr="005123AE" w:rsidRDefault="00421D4B" w:rsidP="00A931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1042,8</w:t>
            </w:r>
          </w:p>
        </w:tc>
        <w:tc>
          <w:tcPr>
            <w:tcW w:w="1573" w:type="dxa"/>
          </w:tcPr>
          <w:p w:rsidR="00421D4B" w:rsidRPr="005123AE" w:rsidRDefault="00421D4B" w:rsidP="00A931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1139,0</w:t>
            </w:r>
          </w:p>
        </w:tc>
        <w:tc>
          <w:tcPr>
            <w:tcW w:w="1262" w:type="dxa"/>
          </w:tcPr>
          <w:p w:rsidR="00421D4B" w:rsidRPr="005123AE" w:rsidRDefault="00421D4B" w:rsidP="00666B4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1131,9</w:t>
            </w:r>
          </w:p>
        </w:tc>
        <w:tc>
          <w:tcPr>
            <w:tcW w:w="1418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-7,1/100</w:t>
            </w:r>
          </w:p>
        </w:tc>
        <w:tc>
          <w:tcPr>
            <w:tcW w:w="1559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+89,10/8,5</w:t>
            </w:r>
          </w:p>
          <w:p w:rsidR="00421D4B" w:rsidRPr="005123AE" w:rsidRDefault="00421D4B" w:rsidP="00DA7825">
            <w:pPr>
              <w:rPr>
                <w:rFonts w:ascii="Times New Roman" w:eastAsia="Times New Roman" w:hAnsi="Times New Roman"/>
                <w:b/>
              </w:rPr>
            </w:pPr>
          </w:p>
          <w:p w:rsidR="00421D4B" w:rsidRPr="005123AE" w:rsidRDefault="00421D4B" w:rsidP="00DA782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</w:tcPr>
          <w:p w:rsidR="00421D4B" w:rsidRPr="005123AE" w:rsidRDefault="00421D4B" w:rsidP="00421D4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19,0</w:t>
            </w:r>
          </w:p>
        </w:tc>
      </w:tr>
      <w:tr w:rsidR="00421D4B" w:rsidTr="00421D4B">
        <w:tc>
          <w:tcPr>
            <w:tcW w:w="1985" w:type="dxa"/>
          </w:tcPr>
          <w:p w:rsidR="00421D4B" w:rsidRPr="00694EB7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Налог на доходы физлиц. </w:t>
            </w:r>
          </w:p>
        </w:tc>
        <w:tc>
          <w:tcPr>
            <w:tcW w:w="1701" w:type="dxa"/>
          </w:tcPr>
          <w:p w:rsidR="00421D4B" w:rsidRPr="002859B3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269,3</w:t>
            </w:r>
          </w:p>
        </w:tc>
        <w:tc>
          <w:tcPr>
            <w:tcW w:w="1573" w:type="dxa"/>
          </w:tcPr>
          <w:p w:rsidR="00421D4B" w:rsidRPr="002859B3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308,0</w:t>
            </w:r>
          </w:p>
        </w:tc>
        <w:tc>
          <w:tcPr>
            <w:tcW w:w="1262" w:type="dxa"/>
          </w:tcPr>
          <w:p w:rsidR="00421D4B" w:rsidRPr="002859B3" w:rsidRDefault="00421D4B" w:rsidP="00666B4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254,1</w:t>
            </w:r>
          </w:p>
        </w:tc>
        <w:tc>
          <w:tcPr>
            <w:tcW w:w="1418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-53,9/83,0</w:t>
            </w:r>
          </w:p>
        </w:tc>
        <w:tc>
          <w:tcPr>
            <w:tcW w:w="1559" w:type="dxa"/>
          </w:tcPr>
          <w:p w:rsidR="00421D4B" w:rsidRPr="002859B3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-15,2/5,6</w:t>
            </w:r>
          </w:p>
        </w:tc>
        <w:tc>
          <w:tcPr>
            <w:tcW w:w="992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23,0</w:t>
            </w:r>
          </w:p>
        </w:tc>
      </w:tr>
      <w:tr w:rsidR="00421D4B" w:rsidTr="00421D4B">
        <w:tc>
          <w:tcPr>
            <w:tcW w:w="1985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Налог на совокупный доход</w:t>
            </w:r>
          </w:p>
        </w:tc>
        <w:tc>
          <w:tcPr>
            <w:tcW w:w="1701" w:type="dxa"/>
          </w:tcPr>
          <w:p w:rsidR="00421D4B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363,9</w:t>
            </w:r>
          </w:p>
        </w:tc>
        <w:tc>
          <w:tcPr>
            <w:tcW w:w="1573" w:type="dxa"/>
          </w:tcPr>
          <w:p w:rsidR="00421D4B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423,0</w:t>
            </w:r>
          </w:p>
        </w:tc>
        <w:tc>
          <w:tcPr>
            <w:tcW w:w="1262" w:type="dxa"/>
          </w:tcPr>
          <w:p w:rsidR="00421D4B" w:rsidRDefault="00421D4B" w:rsidP="00666B4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302,9</w:t>
            </w:r>
          </w:p>
        </w:tc>
        <w:tc>
          <w:tcPr>
            <w:tcW w:w="1418" w:type="dxa"/>
          </w:tcPr>
          <w:p w:rsidR="00421D4B" w:rsidRDefault="00421D4B" w:rsidP="00F7639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-120,1/72,0</w:t>
            </w:r>
          </w:p>
        </w:tc>
        <w:tc>
          <w:tcPr>
            <w:tcW w:w="1559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-61,2/16,8</w:t>
            </w:r>
          </w:p>
        </w:tc>
        <w:tc>
          <w:tcPr>
            <w:tcW w:w="992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27,0</w:t>
            </w:r>
          </w:p>
        </w:tc>
      </w:tr>
      <w:tr w:rsidR="00421D4B" w:rsidTr="00421D4B">
        <w:tc>
          <w:tcPr>
            <w:tcW w:w="1985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Налог на имущество</w:t>
            </w:r>
          </w:p>
        </w:tc>
        <w:tc>
          <w:tcPr>
            <w:tcW w:w="1701" w:type="dxa"/>
          </w:tcPr>
          <w:p w:rsidR="00421D4B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409,5</w:t>
            </w:r>
          </w:p>
        </w:tc>
        <w:tc>
          <w:tcPr>
            <w:tcW w:w="1573" w:type="dxa"/>
          </w:tcPr>
          <w:p w:rsidR="00421D4B" w:rsidRDefault="00421D4B" w:rsidP="00A9317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408,0</w:t>
            </w:r>
          </w:p>
        </w:tc>
        <w:tc>
          <w:tcPr>
            <w:tcW w:w="1262" w:type="dxa"/>
          </w:tcPr>
          <w:p w:rsidR="00421D4B" w:rsidRDefault="00421D4B" w:rsidP="00666B4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574,9</w:t>
            </w:r>
          </w:p>
        </w:tc>
        <w:tc>
          <w:tcPr>
            <w:tcW w:w="1418" w:type="dxa"/>
          </w:tcPr>
          <w:p w:rsidR="00421D4B" w:rsidRDefault="00421D4B" w:rsidP="00F7639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+166,9/141,0</w:t>
            </w:r>
          </w:p>
        </w:tc>
        <w:tc>
          <w:tcPr>
            <w:tcW w:w="1559" w:type="dxa"/>
          </w:tcPr>
          <w:p w:rsidR="00421D4B" w:rsidRDefault="00421D4B" w:rsidP="000A462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+165,4/40,4</w:t>
            </w:r>
          </w:p>
        </w:tc>
        <w:tc>
          <w:tcPr>
            <w:tcW w:w="992" w:type="dxa"/>
          </w:tcPr>
          <w:p w:rsidR="00421D4B" w:rsidRDefault="00421D4B" w:rsidP="00421D4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51,0</w:t>
            </w:r>
          </w:p>
        </w:tc>
      </w:tr>
      <w:tr w:rsidR="00421D4B" w:rsidTr="00421D4B">
        <w:tc>
          <w:tcPr>
            <w:tcW w:w="1985" w:type="dxa"/>
          </w:tcPr>
          <w:p w:rsidR="00421D4B" w:rsidRPr="005123AE" w:rsidRDefault="00421D4B" w:rsidP="006E1A3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 xml:space="preserve">Доходы от использования имущества, находящегося   в государственной и муниципальной собственности           </w:t>
            </w:r>
          </w:p>
        </w:tc>
        <w:tc>
          <w:tcPr>
            <w:tcW w:w="1701" w:type="dxa"/>
          </w:tcPr>
          <w:p w:rsidR="00421D4B" w:rsidRPr="005123AE" w:rsidRDefault="00421D4B" w:rsidP="00321C0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251,6</w:t>
            </w:r>
          </w:p>
        </w:tc>
        <w:tc>
          <w:tcPr>
            <w:tcW w:w="1573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62" w:type="dxa"/>
          </w:tcPr>
          <w:p w:rsidR="00421D4B" w:rsidRPr="005123AE" w:rsidRDefault="00421D4B" w:rsidP="003440A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270,2</w:t>
            </w:r>
          </w:p>
        </w:tc>
        <w:tc>
          <w:tcPr>
            <w:tcW w:w="1418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+270,2/100</w:t>
            </w:r>
          </w:p>
        </w:tc>
        <w:tc>
          <w:tcPr>
            <w:tcW w:w="1559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+18,6/7,6</w:t>
            </w:r>
          </w:p>
        </w:tc>
        <w:tc>
          <w:tcPr>
            <w:tcW w:w="992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4,0</w:t>
            </w:r>
          </w:p>
        </w:tc>
      </w:tr>
      <w:tr w:rsidR="00421D4B" w:rsidTr="00421D4B">
        <w:tc>
          <w:tcPr>
            <w:tcW w:w="1985" w:type="dxa"/>
          </w:tcPr>
          <w:p w:rsidR="00421D4B" w:rsidRPr="005123AE" w:rsidRDefault="00421D4B" w:rsidP="006E1A3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Прочие неналоговые доходы</w:t>
            </w:r>
          </w:p>
        </w:tc>
        <w:tc>
          <w:tcPr>
            <w:tcW w:w="1701" w:type="dxa"/>
          </w:tcPr>
          <w:p w:rsidR="00421D4B" w:rsidRPr="005123AE" w:rsidRDefault="00421D4B" w:rsidP="006E1A3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-30,0</w:t>
            </w:r>
          </w:p>
        </w:tc>
        <w:tc>
          <w:tcPr>
            <w:tcW w:w="1573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262" w:type="dxa"/>
          </w:tcPr>
          <w:p w:rsidR="00421D4B" w:rsidRPr="005123AE" w:rsidRDefault="00421D4B" w:rsidP="00666B4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-12,0</w:t>
            </w:r>
          </w:p>
        </w:tc>
        <w:tc>
          <w:tcPr>
            <w:tcW w:w="1418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421D4B" w:rsidTr="00421D4B">
        <w:tc>
          <w:tcPr>
            <w:tcW w:w="1985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421D4B" w:rsidRPr="005123AE" w:rsidRDefault="00421D4B" w:rsidP="00321C0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5992,0</w:t>
            </w:r>
          </w:p>
        </w:tc>
        <w:tc>
          <w:tcPr>
            <w:tcW w:w="1573" w:type="dxa"/>
          </w:tcPr>
          <w:p w:rsidR="00421D4B" w:rsidRPr="005123AE" w:rsidRDefault="00421D4B" w:rsidP="005A6B96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 xml:space="preserve">5 675,4         </w:t>
            </w:r>
          </w:p>
        </w:tc>
        <w:tc>
          <w:tcPr>
            <w:tcW w:w="1262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5675,4</w:t>
            </w:r>
          </w:p>
        </w:tc>
        <w:tc>
          <w:tcPr>
            <w:tcW w:w="1418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0,0/100</w:t>
            </w:r>
          </w:p>
        </w:tc>
        <w:tc>
          <w:tcPr>
            <w:tcW w:w="1559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5123AE">
              <w:rPr>
                <w:rFonts w:ascii="Times New Roman" w:eastAsia="Times New Roman" w:hAnsi="Times New Roman"/>
                <w:b/>
              </w:rPr>
              <w:t>-316,6/5,3</w:t>
            </w:r>
          </w:p>
        </w:tc>
        <w:tc>
          <w:tcPr>
            <w:tcW w:w="992" w:type="dxa"/>
          </w:tcPr>
          <w:p w:rsidR="00421D4B" w:rsidRPr="005123AE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81,0</w:t>
            </w:r>
          </w:p>
        </w:tc>
      </w:tr>
      <w:tr w:rsidR="00421D4B" w:rsidTr="00421D4B">
        <w:tc>
          <w:tcPr>
            <w:tcW w:w="1985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>Доходы</w:t>
            </w:r>
          </w:p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421D4B" w:rsidRPr="002859B3" w:rsidRDefault="00421D4B" w:rsidP="00A931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>7256,4</w:t>
            </w:r>
          </w:p>
        </w:tc>
        <w:tc>
          <w:tcPr>
            <w:tcW w:w="1573" w:type="dxa"/>
          </w:tcPr>
          <w:p w:rsidR="00421D4B" w:rsidRPr="002859B3" w:rsidRDefault="00421D4B" w:rsidP="00A931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 xml:space="preserve">6814,4  </w:t>
            </w:r>
          </w:p>
        </w:tc>
        <w:tc>
          <w:tcPr>
            <w:tcW w:w="1262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>7065,5</w:t>
            </w:r>
          </w:p>
        </w:tc>
        <w:tc>
          <w:tcPr>
            <w:tcW w:w="1418" w:type="dxa"/>
          </w:tcPr>
          <w:p w:rsidR="00421D4B" w:rsidRPr="002859B3" w:rsidRDefault="00421D4B" w:rsidP="002859B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>+251,1/104,0</w:t>
            </w:r>
          </w:p>
        </w:tc>
        <w:tc>
          <w:tcPr>
            <w:tcW w:w="1559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2859B3">
              <w:rPr>
                <w:rFonts w:ascii="Times New Roman" w:eastAsia="Times New Roman" w:hAnsi="Times New Roman"/>
                <w:b/>
              </w:rPr>
              <w:t>-190,9/2,6</w:t>
            </w:r>
          </w:p>
        </w:tc>
        <w:tc>
          <w:tcPr>
            <w:tcW w:w="992" w:type="dxa"/>
          </w:tcPr>
          <w:p w:rsidR="00421D4B" w:rsidRPr="002859B3" w:rsidRDefault="00421D4B" w:rsidP="00F7639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F76399" w:rsidRDefault="00F76399" w:rsidP="00F76399">
      <w:pPr>
        <w:numPr>
          <w:ilvl w:val="0"/>
          <w:numId w:val="8"/>
        </w:numPr>
        <w:tabs>
          <w:tab w:val="left" w:pos="1699"/>
        </w:tabs>
        <w:spacing w:line="6" w:lineRule="exact"/>
        <w:ind w:left="120" w:firstLine="1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нарушении  Инструкции 191н в </w:t>
      </w:r>
    </w:p>
    <w:p w:rsidR="00F76399" w:rsidRDefault="00F76399" w:rsidP="00F76399">
      <w:pPr>
        <w:spacing w:line="0" w:lineRule="atLeast"/>
        <w:ind w:left="2720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314C09" w:rsidRPr="00314C09" w:rsidRDefault="00115F8E" w:rsidP="00314C09">
      <w:pPr>
        <w:widowControl w:val="0"/>
        <w:suppressAutoHyphens/>
        <w:autoSpaceDE w:val="0"/>
        <w:jc w:val="both"/>
        <w:rPr>
          <w:rFonts w:ascii="Arial" w:eastAsia="Times New Roman" w:hAnsi="Arial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уточненных плановых назначениях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6814,4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доходная часть бюджета поселения исполнена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7065,5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 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ило 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104</w:t>
      </w:r>
      <w:r w:rsidR="00314C09" w:rsidRPr="00314C09">
        <w:rPr>
          <w:rFonts w:ascii="Times New Roman" w:eastAsia="Times New Roman" w:hAnsi="Times New Roman" w:cs="Times New Roman"/>
          <w:sz w:val="28"/>
          <w:szCs w:val="28"/>
          <w:lang w:eastAsia="zh-CN"/>
        </w:rPr>
        <w:t>,0%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4C09" w:rsidRPr="00314C09" w:rsidRDefault="00694EB7" w:rsidP="00314C0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составили в 2022 году  5 675,4 тыс.руб. 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100% исполнение. В сравнении с 2021 годом  сумма безвозмездных поступлений  уменьшилась на 316,6 тыс.руб. или на 5,3%.  В 2022 году  сумма дотаций составила 3918,0 тыс.руб., из них: сумма дотаций </w:t>
      </w:r>
      <w:r w:rsidR="002C0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выравнивание бюджетной обеспеченности из республиканского  бюджета  составила 370,0 тыс.руб., из районного бюджета  составила 3548,0 тыс.руб.</w:t>
      </w:r>
      <w:r w:rsidR="001F5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0ABE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умма субвенций</w:t>
      </w:r>
      <w:r w:rsidR="002C0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осуществление  первичного воинского учета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составила 234,0 тыс.руб.</w:t>
      </w:r>
      <w:r w:rsidR="002C0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Иные межбюджетные трансферты составили </w:t>
      </w:r>
      <w:r w:rsidR="002859B3">
        <w:rPr>
          <w:rFonts w:ascii="Times New Roman" w:eastAsia="Times New Roman" w:hAnsi="Times New Roman" w:cs="Times New Roman"/>
          <w:sz w:val="28"/>
          <w:szCs w:val="28"/>
          <w:lang w:eastAsia="zh-CN"/>
        </w:rPr>
        <w:t>1840,0 тыс.руб.</w:t>
      </w:r>
    </w:p>
    <w:p w:rsidR="00314C09" w:rsidRPr="002859B3" w:rsidRDefault="002859B3" w:rsidP="00FA031B">
      <w:pPr>
        <w:spacing w:line="0" w:lineRule="atLeast"/>
        <w:ind w:firstLine="426"/>
        <w:jc w:val="both"/>
        <w:rPr>
          <w:rFonts w:ascii="Times New Roman" w:eastAsia="Times New Roman" w:hAnsi="Times New Roman"/>
          <w:sz w:val="28"/>
        </w:rPr>
      </w:pPr>
      <w:r w:rsidRPr="002859B3">
        <w:rPr>
          <w:rFonts w:ascii="Times New Roman" w:eastAsia="Times New Roman" w:hAnsi="Times New Roman"/>
          <w:sz w:val="28"/>
        </w:rPr>
        <w:t>Налоговые и неналоговые  поступления составили 1131,9 тыс.руб</w:t>
      </w:r>
      <w:r w:rsidR="00FA031B">
        <w:rPr>
          <w:rFonts w:ascii="Times New Roman" w:eastAsia="Times New Roman" w:hAnsi="Times New Roman"/>
          <w:sz w:val="28"/>
        </w:rPr>
        <w:t>.,</w:t>
      </w:r>
      <w:r w:rsidRPr="002859B3">
        <w:rPr>
          <w:rFonts w:ascii="Times New Roman" w:eastAsia="Times New Roman" w:hAnsi="Times New Roman"/>
          <w:sz w:val="28"/>
        </w:rPr>
        <w:t xml:space="preserve"> при уточненном плане 1139,0 тыс.руб.</w:t>
      </w:r>
      <w:r w:rsidR="00FA031B">
        <w:rPr>
          <w:rFonts w:ascii="Times New Roman" w:eastAsia="Times New Roman" w:hAnsi="Times New Roman"/>
          <w:sz w:val="28"/>
        </w:rPr>
        <w:t xml:space="preserve">  Исполнение составило  100%.</w:t>
      </w:r>
    </w:p>
    <w:p w:rsidR="00F30B48" w:rsidRDefault="007928E2" w:rsidP="00FA031B">
      <w:pPr>
        <w:spacing w:line="0" w:lineRule="atLeast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доходную часть бюджета </w:t>
      </w:r>
      <w:r w:rsidR="00F30B48">
        <w:rPr>
          <w:rFonts w:ascii="Times New Roman" w:eastAsia="Times New Roman" w:hAnsi="Times New Roman"/>
          <w:sz w:val="28"/>
          <w:szCs w:val="28"/>
        </w:rPr>
        <w:t xml:space="preserve"> в 2022 году </w:t>
      </w:r>
      <w:r>
        <w:rPr>
          <w:rFonts w:ascii="Times New Roman" w:eastAsia="Times New Roman" w:hAnsi="Times New Roman"/>
          <w:sz w:val="28"/>
          <w:szCs w:val="28"/>
        </w:rPr>
        <w:t>поступили д</w:t>
      </w:r>
      <w:r w:rsidR="00FA031B" w:rsidRPr="00FA031B">
        <w:rPr>
          <w:rFonts w:ascii="Times New Roman" w:eastAsia="Times New Roman" w:hAnsi="Times New Roman"/>
          <w:sz w:val="28"/>
          <w:szCs w:val="28"/>
        </w:rPr>
        <w:t xml:space="preserve">оходы от использования имущества, находящегося   в государственной и муниципальной собственности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сумме 270,2 тыс.руб.</w:t>
      </w:r>
      <w:r w:rsidR="00F30B48">
        <w:rPr>
          <w:rFonts w:ascii="Times New Roman" w:eastAsia="Times New Roman" w:hAnsi="Times New Roman"/>
          <w:sz w:val="28"/>
          <w:szCs w:val="28"/>
        </w:rPr>
        <w:t xml:space="preserve"> В 2021 году сумма поступлений по данному налогу составили 251,6 тыс.руб. </w:t>
      </w:r>
    </w:p>
    <w:p w:rsidR="001F5748" w:rsidRDefault="001F5748" w:rsidP="00FA031B">
      <w:pPr>
        <w:spacing w:line="0" w:lineRule="atLeast"/>
        <w:ind w:firstLine="426"/>
        <w:rPr>
          <w:rFonts w:ascii="Times New Roman" w:eastAsia="Times New Roman" w:hAnsi="Times New Roman"/>
          <w:b/>
          <w:sz w:val="28"/>
          <w:szCs w:val="28"/>
        </w:rPr>
      </w:pPr>
    </w:p>
    <w:p w:rsidR="00314C09" w:rsidRPr="00FA031B" w:rsidRDefault="00F30B48" w:rsidP="001F574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F30B48">
        <w:rPr>
          <w:rFonts w:ascii="Times New Roman" w:eastAsia="Times New Roman" w:hAnsi="Times New Roman"/>
          <w:b/>
          <w:sz w:val="28"/>
          <w:szCs w:val="28"/>
        </w:rPr>
        <w:t>Замечание КСП:</w:t>
      </w:r>
      <w:r>
        <w:rPr>
          <w:rFonts w:ascii="Times New Roman" w:eastAsia="Times New Roman" w:hAnsi="Times New Roman"/>
          <w:sz w:val="28"/>
          <w:szCs w:val="28"/>
        </w:rPr>
        <w:t xml:space="preserve">  Контрольно- счетная палата считает, что планирование бюджета  происходит неэффективно.     </w:t>
      </w:r>
      <w:r w:rsidR="00FA031B" w:rsidRPr="00FA031B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1F5748" w:rsidRDefault="00286E67" w:rsidP="00286E67">
      <w:pPr>
        <w:tabs>
          <w:tab w:val="left" w:pos="47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4610D7" w:rsidRDefault="00286E67" w:rsidP="00286E67">
      <w:pPr>
        <w:tabs>
          <w:tab w:val="left" w:pos="47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610D7">
        <w:rPr>
          <w:rFonts w:ascii="Times New Roman" w:eastAsia="Times New Roman" w:hAnsi="Times New Roman"/>
          <w:b/>
          <w:sz w:val="28"/>
          <w:szCs w:val="28"/>
        </w:rPr>
        <w:t>Налог на доходы физлиц</w:t>
      </w:r>
      <w:r>
        <w:rPr>
          <w:rFonts w:ascii="Times New Roman" w:eastAsia="Times New Roman" w:hAnsi="Times New Roman"/>
          <w:sz w:val="28"/>
          <w:szCs w:val="28"/>
        </w:rPr>
        <w:t xml:space="preserve"> составил исполнение в сумме 254,1 тыс.руб,  или </w:t>
      </w:r>
      <w:r w:rsidR="004610D7">
        <w:rPr>
          <w:rFonts w:ascii="Times New Roman" w:eastAsia="Times New Roman" w:hAnsi="Times New Roman"/>
          <w:sz w:val="28"/>
          <w:szCs w:val="28"/>
        </w:rPr>
        <w:t xml:space="preserve"> 83,0 %. В сравнении с предыдущим годом  сумма уменьшилась на 15,2 тыс.руб, </w:t>
      </w:r>
    </w:p>
    <w:p w:rsidR="00314C09" w:rsidRPr="00286E67" w:rsidRDefault="004610D7" w:rsidP="00286E67">
      <w:pPr>
        <w:tabs>
          <w:tab w:val="left" w:pos="47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или на 5,6%.</w:t>
      </w:r>
    </w:p>
    <w:p w:rsidR="00314C09" w:rsidRPr="004610D7" w:rsidRDefault="004610D7" w:rsidP="001F574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610D7">
        <w:rPr>
          <w:rFonts w:ascii="Times New Roman" w:eastAsia="Times New Roman" w:hAnsi="Times New Roman"/>
          <w:b/>
          <w:sz w:val="28"/>
          <w:szCs w:val="28"/>
        </w:rPr>
        <w:t>Налог на совокупный доход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610D7">
        <w:rPr>
          <w:rFonts w:ascii="Times New Roman" w:eastAsia="Times New Roman" w:hAnsi="Times New Roman"/>
          <w:sz w:val="28"/>
          <w:szCs w:val="28"/>
        </w:rPr>
        <w:t>исполнен на 72,0%,   сумма исполнения составила 302,9 тыс.руб, при уточненном плане 423,0 тыс.руб. В сравнении с 2021 годом сумма уменьшилась на 61,2 тыс.руб,  или на 16,8%.</w:t>
      </w:r>
    </w:p>
    <w:p w:rsidR="00314C09" w:rsidRDefault="00314C09" w:rsidP="00F76399">
      <w:pPr>
        <w:spacing w:line="0" w:lineRule="atLeast"/>
        <w:ind w:left="2720"/>
        <w:rPr>
          <w:rFonts w:ascii="Times New Roman" w:eastAsia="Times New Roman" w:hAnsi="Times New Roman"/>
          <w:b/>
          <w:sz w:val="28"/>
        </w:rPr>
      </w:pPr>
    </w:p>
    <w:p w:rsidR="00314C09" w:rsidRPr="00C62E48" w:rsidRDefault="003A69A0" w:rsidP="001F574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69A0">
        <w:rPr>
          <w:rFonts w:ascii="Times New Roman" w:eastAsia="Times New Roman" w:hAnsi="Times New Roman"/>
          <w:b/>
          <w:sz w:val="28"/>
          <w:szCs w:val="28"/>
        </w:rPr>
        <w:t>Налог на имущество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2E48">
        <w:rPr>
          <w:rFonts w:ascii="Times New Roman" w:eastAsia="Times New Roman" w:hAnsi="Times New Roman"/>
          <w:sz w:val="28"/>
          <w:szCs w:val="28"/>
        </w:rPr>
        <w:t xml:space="preserve">при плане 408,0 тыс.руб, исполнение составило </w:t>
      </w:r>
      <w:r w:rsidR="00C62E48" w:rsidRPr="00C62E48">
        <w:rPr>
          <w:rFonts w:ascii="Times New Roman" w:eastAsia="Times New Roman" w:hAnsi="Times New Roman"/>
          <w:sz w:val="28"/>
          <w:szCs w:val="28"/>
        </w:rPr>
        <w:t xml:space="preserve">574,9 тыс.руб, или 141,0%. В сравнении с 2021 годом сумма увеличилась на 165,4 тыс.руб, или на 40,4%.  </w:t>
      </w:r>
    </w:p>
    <w:p w:rsidR="00314C09" w:rsidRDefault="00314C09" w:rsidP="001F5748">
      <w:pPr>
        <w:spacing w:line="0" w:lineRule="atLeast"/>
        <w:ind w:left="2720"/>
        <w:jc w:val="both"/>
        <w:rPr>
          <w:rFonts w:ascii="Times New Roman" w:eastAsia="Times New Roman" w:hAnsi="Times New Roman"/>
          <w:b/>
          <w:sz w:val="28"/>
        </w:rPr>
      </w:pPr>
    </w:p>
    <w:p w:rsidR="00421D4B" w:rsidRPr="00421D4B" w:rsidRDefault="00421D4B" w:rsidP="00421D4B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D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доходам -  низкий темп  роста  поступления  местных налогов, </w:t>
      </w:r>
      <w:r w:rsidR="00BA2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421D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2E89"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Pr="00421D4B">
        <w:rPr>
          <w:rFonts w:ascii="Times New Roman" w:eastAsia="Times New Roman" w:hAnsi="Times New Roman" w:cs="Times New Roman"/>
          <w:bCs/>
          <w:sz w:val="28"/>
          <w:szCs w:val="28"/>
        </w:rPr>
        <w:t>,0 %.  Из-за отсутствия наличия  соответствующего прогноза социально-экономического развития сельского поселения, невозможно отследить  темп роста или снижения  поступления по всем видам налогов и провести соответствующий.  Из-за  отсутствия  качественного планирования бюджета и своевременной  корректировки  расходной части бюджета  в 2022 году  образовалось   низкое исполнение</w:t>
      </w:r>
      <w:r w:rsidR="00BA2E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85,4%</w:t>
      </w:r>
      <w:r w:rsidRPr="00421D4B">
        <w:rPr>
          <w:rFonts w:ascii="Times New Roman" w:eastAsia="Times New Roman" w:hAnsi="Times New Roman" w:cs="Times New Roman"/>
          <w:bCs/>
          <w:sz w:val="28"/>
          <w:szCs w:val="28"/>
        </w:rPr>
        <w:t xml:space="preserve">.  Анализируя </w:t>
      </w:r>
      <w:r w:rsidRPr="00421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1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 формирования и исполнения местного бюджета по расходной части,    в первую очередь рассматриваем   вопросы оптимального распределения бюджетных ресурсов, в том числе и между приоритетными направлениями. При этом рассматриваем предпосылки и условия для финансирования приоритетных направлений. При оптимизации бюджетных расходов с целью достижения максимальных социально-значимых результатов решаются вопросы, связанные с определением приоритетов экономической политики  сельского поселения, как текущих, так и на отдаленную перспективу, и объемами их финансирования. </w:t>
      </w:r>
    </w:p>
    <w:p w:rsidR="00421D4B" w:rsidRPr="00421D4B" w:rsidRDefault="00421D4B" w:rsidP="00421D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D4B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отмечает, что наличие доходного потенциала и  имеющиеся возможности по увеличению доходной части бюджета поселения  это:  работа с недоимкой по налоговым доходам и арендной плате на земли, находящиеся на территории  сельского поселения. Провести инвентаризацию земель, недвижимого  и бесхозного имущества для определения фактической налогооблагаемой базы. Провести работу по неформальной занятости населения на территории сельского поселения. Активизировать исковую работу на должном уровне. Вести работу  по поступлению арендной  платы, а также поступление штрафов за несвоевременную уплату за аренду земельных участков. Несмотря на неоднократные замечания Контрольно-счетной палаты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D4B">
        <w:rPr>
          <w:rFonts w:ascii="Times New Roman" w:eastAsia="Times New Roman" w:hAnsi="Times New Roman" w:cs="Times New Roman"/>
          <w:sz w:val="28"/>
          <w:szCs w:val="28"/>
        </w:rPr>
        <w:t xml:space="preserve"> района работа остается на прежнем уровне.  </w:t>
      </w:r>
    </w:p>
    <w:p w:rsidR="00421D4B" w:rsidRPr="00421D4B" w:rsidRDefault="00421D4B" w:rsidP="00421D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D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Контрольно-счетная палата Алагирского района не раз обращала внимание администрации сельского  поселения  на то, что нужно проводить инвентаризацию имущества и земельных участков, домовладений,   Должна создаваться единая база  собираемости налогов по арендной плате за  земельные участки  и имущества, находящегося на территории  сельского поселения.  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1D4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  сельского поселения должна  тесное взаимодействовать  с  налоговой инспекцией, службой БТИ, органами кадастрового учета. Также проводить работу по выявлению собственников и их привлечению  к налогообложению и укреплению платежной системы. </w:t>
      </w:r>
    </w:p>
    <w:p w:rsidR="00314C09" w:rsidRDefault="00314C09" w:rsidP="00F76399">
      <w:pPr>
        <w:spacing w:line="0" w:lineRule="atLeast"/>
        <w:ind w:left="2720"/>
        <w:rPr>
          <w:rFonts w:ascii="Times New Roman" w:eastAsia="Times New Roman" w:hAnsi="Times New Roman"/>
          <w:b/>
          <w:sz w:val="28"/>
        </w:rPr>
      </w:pPr>
    </w:p>
    <w:p w:rsidR="00F76399" w:rsidRPr="002D6B23" w:rsidRDefault="00F76399" w:rsidP="00F76399">
      <w:pPr>
        <w:spacing w:line="0" w:lineRule="atLeast"/>
        <w:ind w:left="2720"/>
        <w:rPr>
          <w:rFonts w:ascii="Times New Roman" w:eastAsia="Times New Roman" w:hAnsi="Times New Roman"/>
          <w:b/>
          <w:sz w:val="28"/>
        </w:rPr>
      </w:pPr>
      <w:r w:rsidRPr="002D6B23">
        <w:rPr>
          <w:rFonts w:ascii="Times New Roman" w:eastAsia="Times New Roman" w:hAnsi="Times New Roman"/>
          <w:b/>
          <w:sz w:val="28"/>
        </w:rPr>
        <w:t>Расходы бюджета поселения</w:t>
      </w:r>
    </w:p>
    <w:p w:rsidR="00481ABD" w:rsidRDefault="00481ABD" w:rsidP="00F76399">
      <w:pPr>
        <w:tabs>
          <w:tab w:val="left" w:pos="6640"/>
        </w:tabs>
        <w:spacing w:line="232" w:lineRule="auto"/>
        <w:ind w:left="820"/>
        <w:rPr>
          <w:rFonts w:ascii="Times New Roman" w:eastAsia="Times New Roman" w:hAnsi="Times New Roman"/>
          <w:sz w:val="28"/>
        </w:rPr>
      </w:pPr>
    </w:p>
    <w:p w:rsidR="00F76399" w:rsidRDefault="00BA2E89" w:rsidP="00481ABD">
      <w:pPr>
        <w:tabs>
          <w:tab w:val="left" w:pos="6640"/>
        </w:tabs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F76399">
        <w:rPr>
          <w:rFonts w:ascii="Times New Roman" w:eastAsia="Times New Roman" w:hAnsi="Times New Roman"/>
          <w:sz w:val="28"/>
        </w:rPr>
        <w:t>Согласно предоставленному проекту решения</w:t>
      </w:r>
      <w:r w:rsidR="00481ABD">
        <w:rPr>
          <w:rFonts w:ascii="Times New Roman" w:eastAsia="Times New Roman" w:hAnsi="Times New Roman"/>
          <w:sz w:val="28"/>
        </w:rPr>
        <w:t xml:space="preserve"> по исполнению бюджета  </w:t>
      </w:r>
      <w:r w:rsidR="00F76399">
        <w:rPr>
          <w:rFonts w:ascii="Times New Roman" w:eastAsia="Times New Roman" w:hAnsi="Times New Roman"/>
        </w:rPr>
        <w:t xml:space="preserve"> </w:t>
      </w:r>
      <w:r w:rsidR="00F76399">
        <w:rPr>
          <w:rFonts w:ascii="Times New Roman" w:eastAsia="Times New Roman" w:hAnsi="Times New Roman"/>
          <w:sz w:val="28"/>
          <w:szCs w:val="28"/>
        </w:rPr>
        <w:t xml:space="preserve">Мизурского </w:t>
      </w:r>
      <w:r w:rsidR="00F76399">
        <w:rPr>
          <w:rFonts w:ascii="Times New Roman" w:eastAsia="Times New Roman" w:hAnsi="Times New Roman"/>
        </w:rPr>
        <w:t xml:space="preserve">  </w:t>
      </w:r>
      <w:r w:rsidR="00F76399">
        <w:rPr>
          <w:rFonts w:ascii="Times New Roman" w:eastAsia="Times New Roman" w:hAnsi="Times New Roman"/>
          <w:sz w:val="28"/>
        </w:rPr>
        <w:t>сельского поселения в 20</w:t>
      </w:r>
      <w:r w:rsidR="008F25AD">
        <w:rPr>
          <w:rFonts w:ascii="Times New Roman" w:eastAsia="Times New Roman" w:hAnsi="Times New Roman"/>
          <w:sz w:val="28"/>
        </w:rPr>
        <w:t>2</w:t>
      </w:r>
      <w:r w:rsidR="00481ABD">
        <w:rPr>
          <w:rFonts w:ascii="Times New Roman" w:eastAsia="Times New Roman" w:hAnsi="Times New Roman"/>
          <w:sz w:val="28"/>
        </w:rPr>
        <w:t xml:space="preserve">2 </w:t>
      </w:r>
      <w:r w:rsidR="00F76399">
        <w:rPr>
          <w:rFonts w:ascii="Times New Roman" w:eastAsia="Times New Roman" w:hAnsi="Times New Roman"/>
          <w:sz w:val="28"/>
        </w:rPr>
        <w:t xml:space="preserve"> году </w:t>
      </w:r>
      <w:r>
        <w:rPr>
          <w:rFonts w:ascii="Times New Roman" w:eastAsia="Times New Roman" w:hAnsi="Times New Roman"/>
          <w:sz w:val="28"/>
        </w:rPr>
        <w:t xml:space="preserve"> исполнение по </w:t>
      </w:r>
      <w:r w:rsidR="00481ABD">
        <w:rPr>
          <w:rFonts w:ascii="Times New Roman" w:eastAsia="Times New Roman" w:hAnsi="Times New Roman"/>
          <w:sz w:val="28"/>
        </w:rPr>
        <w:t xml:space="preserve"> расходн</w:t>
      </w:r>
      <w:r>
        <w:rPr>
          <w:rFonts w:ascii="Times New Roman" w:eastAsia="Times New Roman" w:hAnsi="Times New Roman"/>
          <w:sz w:val="28"/>
        </w:rPr>
        <w:t xml:space="preserve">ой </w:t>
      </w:r>
      <w:r w:rsidR="00481ABD">
        <w:rPr>
          <w:rFonts w:ascii="Times New Roman" w:eastAsia="Times New Roman" w:hAnsi="Times New Roman"/>
          <w:sz w:val="28"/>
        </w:rPr>
        <w:t xml:space="preserve"> част</w:t>
      </w:r>
      <w:r>
        <w:rPr>
          <w:rFonts w:ascii="Times New Roman" w:eastAsia="Times New Roman" w:hAnsi="Times New Roman"/>
          <w:sz w:val="28"/>
        </w:rPr>
        <w:t xml:space="preserve">и </w:t>
      </w:r>
      <w:r w:rsidR="00481ABD">
        <w:rPr>
          <w:rFonts w:ascii="Times New Roman" w:eastAsia="Times New Roman" w:hAnsi="Times New Roman"/>
          <w:sz w:val="28"/>
        </w:rPr>
        <w:t xml:space="preserve"> бюджета составила 6932,8 тыс.руб. или 85,4%.  В  </w:t>
      </w:r>
      <w:r w:rsidR="00454EBF">
        <w:rPr>
          <w:rFonts w:ascii="Times New Roman" w:eastAsia="Times New Roman" w:hAnsi="Times New Roman"/>
          <w:sz w:val="28"/>
        </w:rPr>
        <w:t>сравнении с 2021 годом сумма уменьшилась на 1547,3 тыс.руб. или на 18,2%.</w:t>
      </w:r>
    </w:p>
    <w:p w:rsidR="00F76399" w:rsidRDefault="00F76399" w:rsidP="00F76399">
      <w:pPr>
        <w:spacing w:line="18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spacing w:line="232" w:lineRule="auto"/>
        <w:ind w:left="120" w:firstLine="708"/>
        <w:rPr>
          <w:rFonts w:ascii="Times New Roman" w:eastAsia="Times New Roman" w:hAnsi="Times New Roman"/>
          <w:sz w:val="28"/>
        </w:rPr>
      </w:pPr>
    </w:p>
    <w:p w:rsidR="00454EBF" w:rsidRDefault="00454EBF" w:rsidP="00F76399">
      <w:pPr>
        <w:spacing w:line="232" w:lineRule="auto"/>
        <w:ind w:left="120" w:firstLine="708"/>
        <w:rPr>
          <w:rFonts w:ascii="Times New Roman" w:eastAsia="Times New Roman" w:hAnsi="Times New Roman"/>
          <w:sz w:val="2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276"/>
        <w:gridCol w:w="1276"/>
        <w:gridCol w:w="1417"/>
        <w:gridCol w:w="992"/>
      </w:tblGrid>
      <w:tr w:rsidR="00BA2E89" w:rsidRPr="00BA2E89" w:rsidTr="00674D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год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Уточнен. план</w:t>
            </w:r>
          </w:p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Факт.</w:t>
            </w:r>
          </w:p>
          <w:p w:rsidR="00BA2E89" w:rsidRPr="00BA2E89" w:rsidRDefault="00BA2E89" w:rsidP="00BA2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Отклон. +/-, испол. в % </w:t>
            </w:r>
          </w:p>
          <w:p w:rsidR="00BA2E89" w:rsidRPr="00BA2E89" w:rsidRDefault="00BA2E89" w:rsidP="00BA2E89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по факт.исп.  +/-, в %</w:t>
            </w:r>
          </w:p>
          <w:p w:rsidR="00BA2E89" w:rsidRPr="00BA2E89" w:rsidRDefault="00BA2E89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2022/2021гг.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Уд.вес в % в 2022г.</w:t>
            </w:r>
          </w:p>
        </w:tc>
      </w:tr>
      <w:tr w:rsidR="00BA2E89" w:rsidRPr="00BA2E89" w:rsidTr="00674DC2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-158,9/94,3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A52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+183,8/</w:t>
            </w:r>
            <w:r w:rsidR="00A52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BA2E89" w:rsidRPr="00BA2E89" w:rsidTr="00674D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A52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+9,0/3,8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036491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A2E89" w:rsidRPr="00BA2E89" w:rsidTr="00674DC2">
        <w:trPr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-749,6/82,5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+1603,7/68,7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</w:tr>
      <w:tr w:rsidR="00BA2E89" w:rsidRPr="00BA2E89" w:rsidTr="00674D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  <w:p w:rsidR="00BA2E89" w:rsidRPr="00BA2E89" w:rsidRDefault="00BA2E89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-273,1/66,6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-136,5/80,0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BA2E89" w:rsidRPr="00BA2E89" w:rsidTr="00674DC2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BA2E89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89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D8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8480,1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8114,4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D8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6932,8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781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-1181,6</w:t>
            </w:r>
            <w:r w:rsidR="0078134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C6F02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r w:rsidR="0078134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C6F0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-1547,3/81,7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9" w:rsidRPr="00BA2E89" w:rsidRDefault="00D850F6" w:rsidP="00BA2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0F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F76399" w:rsidRDefault="00F76399" w:rsidP="00F76399">
      <w:pPr>
        <w:spacing w:line="235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bookmarkStart w:id="2" w:name="page9"/>
      <w:bookmarkEnd w:id="2"/>
    </w:p>
    <w:p w:rsidR="00D850F6" w:rsidRDefault="00F76399" w:rsidP="00BF14AC">
      <w:pPr>
        <w:spacing w:line="235" w:lineRule="auto"/>
        <w:ind w:left="1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Исходя из анализа данной таблицы, основная доля расходов бюджета поселения в 20</w:t>
      </w:r>
      <w:r w:rsidR="006A471A">
        <w:rPr>
          <w:rFonts w:ascii="Times New Roman" w:eastAsia="Times New Roman" w:hAnsi="Times New Roman"/>
          <w:sz w:val="28"/>
        </w:rPr>
        <w:t>2</w:t>
      </w:r>
      <w:r w:rsidR="00BA2E89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году приходится на </w:t>
      </w:r>
      <w:r w:rsidR="001E236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расходы</w:t>
      </w:r>
      <w:r w:rsidR="001E2364"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 xml:space="preserve"> по</w:t>
      </w:r>
      <w:r w:rsidR="001E2364">
        <w:rPr>
          <w:rFonts w:ascii="Times New Roman" w:eastAsia="Times New Roman" w:hAnsi="Times New Roman"/>
          <w:sz w:val="28"/>
        </w:rPr>
        <w:t xml:space="preserve"> вопросам</w:t>
      </w:r>
      <w:r w:rsidR="00D850F6">
        <w:rPr>
          <w:rFonts w:ascii="Times New Roman" w:eastAsia="Times New Roman" w:hAnsi="Times New Roman"/>
          <w:sz w:val="28"/>
        </w:rPr>
        <w:t>:</w:t>
      </w:r>
    </w:p>
    <w:p w:rsidR="00D850F6" w:rsidRDefault="00D850F6" w:rsidP="003E189D">
      <w:pPr>
        <w:spacing w:line="235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общегосударственным вопросам– 94,3 %, </w:t>
      </w:r>
    </w:p>
    <w:p w:rsidR="00D850F6" w:rsidRDefault="00D850F6" w:rsidP="003E189D">
      <w:pPr>
        <w:spacing w:line="235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жилищно-коммунального хозяйства – 82,5 %, </w:t>
      </w:r>
    </w:p>
    <w:p w:rsidR="00D850F6" w:rsidRDefault="00D850F6" w:rsidP="003E189D">
      <w:pPr>
        <w:spacing w:line="235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национальная оборона  составляет – 100 %,  </w:t>
      </w:r>
    </w:p>
    <w:p w:rsidR="00D850F6" w:rsidRDefault="00D850F6" w:rsidP="003E189D">
      <w:pPr>
        <w:spacing w:line="235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76399">
        <w:rPr>
          <w:rFonts w:ascii="Times New Roman" w:eastAsia="Times New Roman" w:hAnsi="Times New Roman"/>
          <w:sz w:val="28"/>
        </w:rPr>
        <w:t xml:space="preserve">социальная политика </w:t>
      </w:r>
      <w:r w:rsidR="00B822FF">
        <w:rPr>
          <w:rFonts w:ascii="Times New Roman" w:eastAsia="Times New Roman" w:hAnsi="Times New Roman"/>
          <w:sz w:val="28"/>
        </w:rPr>
        <w:t>–</w:t>
      </w:r>
      <w:r w:rsidR="001E236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65,6%.</w:t>
      </w:r>
      <w:r w:rsidR="00B822FF">
        <w:rPr>
          <w:rFonts w:ascii="Times New Roman" w:eastAsia="Times New Roman" w:hAnsi="Times New Roman"/>
          <w:sz w:val="28"/>
        </w:rPr>
        <w:t xml:space="preserve"> </w:t>
      </w:r>
      <w:r w:rsidR="001E2364">
        <w:rPr>
          <w:rFonts w:ascii="Times New Roman" w:eastAsia="Times New Roman" w:hAnsi="Times New Roman"/>
          <w:sz w:val="28"/>
        </w:rPr>
        <w:t xml:space="preserve"> </w:t>
      </w:r>
    </w:p>
    <w:p w:rsidR="00F76399" w:rsidRDefault="00F76399" w:rsidP="00F76399">
      <w:pPr>
        <w:spacing w:line="4" w:lineRule="exact"/>
        <w:rPr>
          <w:rFonts w:ascii="Times New Roman" w:eastAsia="Times New Roman" w:hAnsi="Times New Roman"/>
        </w:rPr>
      </w:pPr>
    </w:p>
    <w:p w:rsidR="00F76399" w:rsidRDefault="00F76399" w:rsidP="00BF14AC">
      <w:pPr>
        <w:spacing w:line="0" w:lineRule="atLeast"/>
        <w:ind w:left="701" w:hanging="13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Исполнение по разделам расходной части бюджета поселения сложилось</w:t>
      </w:r>
    </w:p>
    <w:p w:rsidR="00F76399" w:rsidRDefault="00F76399" w:rsidP="00F76399">
      <w:pPr>
        <w:spacing w:line="13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numPr>
          <w:ilvl w:val="0"/>
          <w:numId w:val="9"/>
        </w:numPr>
        <w:tabs>
          <w:tab w:val="left" w:pos="351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интервале от </w:t>
      </w:r>
      <w:r w:rsidR="00D850F6">
        <w:rPr>
          <w:rFonts w:ascii="Times New Roman" w:eastAsia="Times New Roman" w:hAnsi="Times New Roman"/>
          <w:sz w:val="28"/>
        </w:rPr>
        <w:t>66,6</w:t>
      </w:r>
      <w:r>
        <w:rPr>
          <w:rFonts w:ascii="Times New Roman" w:eastAsia="Times New Roman" w:hAnsi="Times New Roman"/>
          <w:sz w:val="28"/>
        </w:rPr>
        <w:t>% до 100% от бюджетных назначений, причины невыполнения плана по расходам  раздела   «Жилищно-коммунальное хозяйство»</w:t>
      </w:r>
      <w:r w:rsidR="001E2364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  не полностью  изложены в пояснительной записке (ф.0503160). В соответствии с пунктом 163 </w:t>
      </w:r>
      <w:r w:rsidR="001E236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Инструкции 191</w:t>
      </w:r>
      <w:r w:rsidR="001E2364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 следует указывать конкретную причину.   </w:t>
      </w:r>
    </w:p>
    <w:p w:rsidR="00F76399" w:rsidRDefault="00F76399" w:rsidP="00F76399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</w:p>
    <w:p w:rsidR="00F76399" w:rsidRDefault="00F76399" w:rsidP="00F76399">
      <w:pPr>
        <w:spacing w:line="237" w:lineRule="auto"/>
        <w:ind w:left="1"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010</w:t>
      </w:r>
      <w:r w:rsidR="009B55D3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«Общегосударственные расходы»</w:t>
      </w:r>
    </w:p>
    <w:p w:rsidR="00F76399" w:rsidRDefault="00F76399" w:rsidP="00F76399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общегосударственные вопросы в целом из бюджета сельского  поселения произведено расходов в сумме </w:t>
      </w:r>
      <w:r w:rsidR="00D850F6">
        <w:rPr>
          <w:rFonts w:ascii="Times New Roman" w:eastAsia="Times New Roman" w:hAnsi="Times New Roman" w:cs="Times New Roman"/>
          <w:sz w:val="28"/>
          <w:szCs w:val="28"/>
        </w:rPr>
        <w:t>2616,1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1309B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.руб., исполнение составило </w:t>
      </w:r>
      <w:r w:rsidR="00D850F6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F6">
        <w:rPr>
          <w:rFonts w:ascii="Times New Roman" w:eastAsia="Times New Roman" w:hAnsi="Times New Roman" w:cs="Times New Roman"/>
          <w:sz w:val="28"/>
          <w:szCs w:val="28"/>
        </w:rPr>
        <w:t xml:space="preserve">94,3 </w:t>
      </w:r>
      <w:r>
        <w:rPr>
          <w:rFonts w:ascii="Times New Roman" w:eastAsia="Times New Roman" w:hAnsi="Times New Roman" w:cs="Times New Roman"/>
          <w:sz w:val="28"/>
          <w:szCs w:val="28"/>
        </w:rPr>
        <w:t>%, в сравнении с 20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  сумма </w:t>
      </w:r>
      <w:r w:rsidR="00D850F6">
        <w:rPr>
          <w:rFonts w:ascii="Times New Roman" w:eastAsia="Times New Roman" w:hAnsi="Times New Roman" w:cs="Times New Roman"/>
          <w:sz w:val="28"/>
          <w:szCs w:val="28"/>
        </w:rPr>
        <w:t>увеличилась на 183,8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 или на </w:t>
      </w:r>
      <w:r w:rsidR="00D850F6">
        <w:rPr>
          <w:rFonts w:ascii="Times New Roman" w:eastAsia="Times New Roman" w:hAnsi="Times New Roman" w:cs="Times New Roman"/>
          <w:sz w:val="28"/>
          <w:szCs w:val="28"/>
        </w:rPr>
        <w:t xml:space="preserve">7,6 </w:t>
      </w:r>
      <w:r w:rsidR="00962F5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сумма расходов по данной статье составила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 2432,3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B55D3" w:rsidRDefault="009B55D3" w:rsidP="00F76399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399" w:rsidRDefault="00A52868" w:rsidP="00F76399">
      <w:pPr>
        <w:tabs>
          <w:tab w:val="left" w:pos="900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639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6399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9B55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763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Национальная оборона</w:t>
      </w:r>
    </w:p>
    <w:p w:rsidR="00F76399" w:rsidRDefault="00F76399" w:rsidP="00F76399">
      <w:pPr>
        <w:tabs>
          <w:tab w:val="left" w:pos="900"/>
        </w:tabs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6399" w:rsidRDefault="00F76399" w:rsidP="00F76399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целом по разделу «Национальная оборона»  на осуществление первичного воинского учета произведено расходов в сумм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z w:val="28"/>
          <w:szCs w:val="28"/>
        </w:rPr>
        <w:t>,0 т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руб. или 100,0% к годовым назначениям, что на 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>.руб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показателя предыдущего года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 xml:space="preserve"> или на 3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8D380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6399" w:rsidRDefault="00F76399" w:rsidP="00F76399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399" w:rsidRDefault="00F76399" w:rsidP="00F76399">
      <w:pPr>
        <w:tabs>
          <w:tab w:val="left" w:pos="900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A57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</w:t>
      </w:r>
      <w:r w:rsidR="009B55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Жилищно-коммунальное хозяйство</w:t>
      </w:r>
    </w:p>
    <w:p w:rsidR="00F76399" w:rsidRDefault="00F76399" w:rsidP="00F76399">
      <w:pPr>
        <w:tabs>
          <w:tab w:val="left" w:pos="900"/>
        </w:tabs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6399" w:rsidRDefault="00F76399" w:rsidP="006E45A8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6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по разделу  0500 «Жилищно-коммунальное хозяйство» за счёт средств бюджета сельского  поселения в 20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произведено расходов в объёме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 3527,8</w:t>
      </w:r>
      <w:r w:rsidR="004E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50E6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.руб., что на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>68,7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или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 на 1603,7</w:t>
      </w:r>
      <w:r w:rsidR="00BB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50E6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>.руб.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показателя предыдущего года</w:t>
      </w:r>
      <w:r w:rsidR="004E0B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469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данный раздел составляет </w:t>
      </w:r>
      <w:r w:rsidR="00A5286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04691">
        <w:rPr>
          <w:rFonts w:ascii="Times New Roman" w:eastAsia="Times New Roman" w:hAnsi="Times New Roman" w:cs="Times New Roman"/>
          <w:sz w:val="28"/>
          <w:szCs w:val="28"/>
        </w:rPr>
        <w:t>,9%.</w:t>
      </w:r>
      <w:r w:rsidR="00962F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60F7" w:rsidRDefault="006860F7" w:rsidP="006E45A8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52868" w:rsidRPr="006860F7">
        <w:rPr>
          <w:rFonts w:ascii="Times New Roman" w:eastAsia="Times New Roman" w:hAnsi="Times New Roman" w:cs="Times New Roman"/>
          <w:b/>
          <w:sz w:val="28"/>
          <w:szCs w:val="28"/>
        </w:rPr>
        <w:t>По  подразделу 05</w:t>
      </w:r>
      <w:r w:rsidR="0086085F" w:rsidRPr="006860F7">
        <w:rPr>
          <w:rFonts w:ascii="Times New Roman" w:eastAsia="Times New Roman" w:hAnsi="Times New Roman" w:cs="Times New Roman"/>
          <w:b/>
          <w:sz w:val="28"/>
          <w:szCs w:val="28"/>
        </w:rPr>
        <w:t>03 «Благоустройство»</w:t>
      </w:r>
      <w:r w:rsidR="0086085F">
        <w:rPr>
          <w:rFonts w:ascii="Times New Roman" w:eastAsia="Times New Roman" w:hAnsi="Times New Roman" w:cs="Times New Roman"/>
          <w:sz w:val="28"/>
          <w:szCs w:val="28"/>
        </w:rPr>
        <w:t xml:space="preserve">   при уточненном плане 3687,4 тыс.руб., фактическое исполнение составило 2937,8 тыс.руб., или 79,7%. </w:t>
      </w:r>
      <w:r w:rsidR="00240D12">
        <w:rPr>
          <w:rFonts w:ascii="Times New Roman" w:eastAsia="Times New Roman" w:hAnsi="Times New Roman" w:cs="Times New Roman"/>
          <w:sz w:val="28"/>
          <w:szCs w:val="28"/>
        </w:rPr>
        <w:t>Расходы по уличному освящению при уточненном плане 590,0 тыс.руб., исполнение составило 447,2 тыс.руб., или 75,8%.</w:t>
      </w:r>
      <w:r w:rsidR="00DA11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11B5" w:rsidRPr="006860F7">
        <w:rPr>
          <w:rFonts w:ascii="Times New Roman" w:eastAsia="Times New Roman" w:hAnsi="Times New Roman" w:cs="Times New Roman"/>
          <w:b/>
          <w:sz w:val="28"/>
          <w:szCs w:val="28"/>
        </w:rPr>
        <w:t>На п</w:t>
      </w:r>
      <w:r w:rsidR="0060582B" w:rsidRPr="006860F7">
        <w:rPr>
          <w:rFonts w:ascii="Times New Roman" w:eastAsia="Times New Roman" w:hAnsi="Times New Roman" w:cs="Times New Roman"/>
          <w:b/>
          <w:sz w:val="28"/>
          <w:szCs w:val="28"/>
        </w:rPr>
        <w:t>рочие мероприятия по благоустройству</w:t>
      </w:r>
      <w:r w:rsidR="00DA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2B">
        <w:rPr>
          <w:rFonts w:ascii="Times New Roman" w:eastAsia="Times New Roman" w:hAnsi="Times New Roman" w:cs="Times New Roman"/>
          <w:sz w:val="28"/>
          <w:szCs w:val="28"/>
        </w:rPr>
        <w:t xml:space="preserve">  при уто</w:t>
      </w:r>
      <w:r w:rsidR="00DA11B5">
        <w:rPr>
          <w:rFonts w:ascii="Times New Roman" w:eastAsia="Times New Roman" w:hAnsi="Times New Roman" w:cs="Times New Roman"/>
          <w:sz w:val="28"/>
          <w:szCs w:val="28"/>
        </w:rPr>
        <w:t>чненном  плане  2945,</w:t>
      </w:r>
      <w:r w:rsidR="00B80A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11B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B80A74">
        <w:rPr>
          <w:rFonts w:ascii="Times New Roman" w:eastAsia="Times New Roman" w:hAnsi="Times New Roman" w:cs="Times New Roman"/>
          <w:sz w:val="28"/>
          <w:szCs w:val="28"/>
        </w:rPr>
        <w:t>.руб., исполнение составило 2440,2 тыс.руб., или 83,0%. На покупку газа   при плане 150,0 тыс.руб., израсходовано было 49,1 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33,0%. </w:t>
      </w:r>
      <w:r w:rsidR="0086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>В пояснительной записке отсутствует  развернутая информация по  разделу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0501 и подразделам</w:t>
      </w:r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868" w:rsidRPr="006860F7" w:rsidRDefault="006860F7" w:rsidP="006E45A8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>Сумма неиспользованная при исполнении бюджета Мизурского сельского поселения</w:t>
      </w:r>
      <w:r w:rsidR="00B83B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данному разделу </w:t>
      </w:r>
      <w:bookmarkStart w:id="3" w:name="_GoBack"/>
      <w:bookmarkEnd w:id="3"/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размере 1603,7 тыс.руб., является неэффективным расходованием бюджетных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868" w:rsidRPr="006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78C9" w:rsidRDefault="00F76399" w:rsidP="00F76399">
      <w:pPr>
        <w:tabs>
          <w:tab w:val="left" w:pos="900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A575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B55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6399" w:rsidRDefault="009C78C9" w:rsidP="00F76399">
      <w:pPr>
        <w:tabs>
          <w:tab w:val="left" w:pos="900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BA2E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00E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6399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9B55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6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Социальная политика</w:t>
      </w:r>
    </w:p>
    <w:p w:rsidR="006860F7" w:rsidRDefault="00F76399" w:rsidP="00F76399">
      <w:pPr>
        <w:tabs>
          <w:tab w:val="left" w:pos="900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 разделу  «Социальная политика» расходы в 20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E8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6</w:t>
      </w:r>
      <w:r w:rsidR="009C78C9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,4т</w:t>
      </w:r>
      <w:r w:rsidR="00962F5C">
        <w:rPr>
          <w:rFonts w:ascii="Times New Roman" w:eastAsia="Times New Roman" w:hAnsi="Times New Roman" w:cs="Times New Roman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руб. или </w:t>
      </w:r>
      <w:r w:rsidR="009C78C9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назначений</w:t>
      </w:r>
      <w:r w:rsidR="009C78C9">
        <w:rPr>
          <w:rFonts w:ascii="Times New Roman" w:eastAsia="Times New Roman" w:hAnsi="Times New Roman" w:cs="Times New Roman"/>
          <w:sz w:val="28"/>
          <w:szCs w:val="28"/>
        </w:rPr>
        <w:t xml:space="preserve">. В сравнении с предыдущим периодом сумма данного вида расходов  увеличилась на 191,0 тыс.руб, или на 39,8%. В структуре  расходов   </w:t>
      </w:r>
      <w:r w:rsidR="00000767">
        <w:rPr>
          <w:rFonts w:ascii="Times New Roman" w:eastAsia="Times New Roman" w:hAnsi="Times New Roman" w:cs="Times New Roman"/>
          <w:sz w:val="28"/>
          <w:szCs w:val="28"/>
        </w:rPr>
        <w:t>данный раздел составил</w:t>
      </w:r>
      <w:r w:rsidR="009C78C9">
        <w:rPr>
          <w:rFonts w:ascii="Times New Roman" w:eastAsia="Times New Roman" w:hAnsi="Times New Roman" w:cs="Times New Roman"/>
          <w:sz w:val="28"/>
          <w:szCs w:val="28"/>
        </w:rPr>
        <w:t xml:space="preserve"> 11,7%.</w:t>
      </w:r>
      <w:r w:rsidR="00000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0F7" w:rsidRDefault="006860F7" w:rsidP="00F76399">
      <w:pPr>
        <w:tabs>
          <w:tab w:val="left" w:pos="900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399" w:rsidRPr="00817FCE" w:rsidRDefault="006860F7" w:rsidP="00E65003">
      <w:pPr>
        <w:tabs>
          <w:tab w:val="left" w:pos="900"/>
        </w:tabs>
        <w:spacing w:line="276" w:lineRule="auto"/>
        <w:ind w:hanging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00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F5C" w:rsidRPr="00817FCE">
        <w:rPr>
          <w:rFonts w:ascii="Times New Roman" w:eastAsia="Times New Roman" w:hAnsi="Times New Roman"/>
          <w:b/>
          <w:sz w:val="28"/>
        </w:rPr>
        <w:t>Дебиторская задолженность составила на 01.01.202</w:t>
      </w:r>
      <w:r w:rsidR="00155852">
        <w:rPr>
          <w:rFonts w:ascii="Times New Roman" w:eastAsia="Times New Roman" w:hAnsi="Times New Roman"/>
          <w:b/>
          <w:sz w:val="28"/>
        </w:rPr>
        <w:t>3</w:t>
      </w:r>
      <w:r w:rsidR="00962F5C" w:rsidRPr="00817FCE">
        <w:rPr>
          <w:rFonts w:ascii="Times New Roman" w:eastAsia="Times New Roman" w:hAnsi="Times New Roman"/>
          <w:b/>
          <w:sz w:val="28"/>
        </w:rPr>
        <w:t xml:space="preserve"> год</w:t>
      </w:r>
      <w:r w:rsidR="00200ED5" w:rsidRPr="00817FCE">
        <w:rPr>
          <w:rFonts w:ascii="Times New Roman" w:eastAsia="Times New Roman" w:hAnsi="Times New Roman"/>
          <w:b/>
          <w:sz w:val="28"/>
        </w:rPr>
        <w:t xml:space="preserve"> </w:t>
      </w:r>
      <w:r w:rsidR="0018018E" w:rsidRPr="00817FCE">
        <w:rPr>
          <w:rFonts w:ascii="Times New Roman" w:eastAsia="Times New Roman" w:hAnsi="Times New Roman"/>
          <w:b/>
          <w:sz w:val="28"/>
        </w:rPr>
        <w:t>–</w:t>
      </w:r>
      <w:r w:rsidR="00962F5C" w:rsidRPr="00817FCE">
        <w:rPr>
          <w:rFonts w:ascii="Times New Roman" w:eastAsia="Times New Roman" w:hAnsi="Times New Roman"/>
          <w:b/>
          <w:sz w:val="28"/>
        </w:rPr>
        <w:t xml:space="preserve"> </w:t>
      </w:r>
      <w:r w:rsidR="00155852">
        <w:rPr>
          <w:rFonts w:ascii="Times New Roman" w:eastAsia="Times New Roman" w:hAnsi="Times New Roman"/>
          <w:b/>
          <w:sz w:val="28"/>
        </w:rPr>
        <w:t>1117,1</w:t>
      </w:r>
      <w:r w:rsidR="0018018E" w:rsidRPr="00817FCE">
        <w:rPr>
          <w:rFonts w:ascii="Times New Roman" w:eastAsia="Times New Roman" w:hAnsi="Times New Roman"/>
          <w:b/>
          <w:sz w:val="28"/>
        </w:rPr>
        <w:t xml:space="preserve"> тыс.руб</w:t>
      </w:r>
      <w:r w:rsidR="00817FCE" w:rsidRPr="00817FCE">
        <w:rPr>
          <w:rFonts w:ascii="Times New Roman" w:eastAsia="Times New Roman" w:hAnsi="Times New Roman"/>
          <w:b/>
          <w:sz w:val="28"/>
        </w:rPr>
        <w:t xml:space="preserve">   </w:t>
      </w:r>
      <w:r w:rsidR="00F76399" w:rsidRPr="00817FCE">
        <w:rPr>
          <w:rFonts w:ascii="Times New Roman" w:eastAsia="Times New Roman" w:hAnsi="Times New Roman"/>
          <w:b/>
          <w:sz w:val="28"/>
        </w:rPr>
        <w:t xml:space="preserve"> </w:t>
      </w:r>
    </w:p>
    <w:p w:rsidR="00F76399" w:rsidRDefault="00F76399" w:rsidP="001C0AA7">
      <w:pPr>
        <w:spacing w:line="14" w:lineRule="exact"/>
        <w:ind w:firstLine="993"/>
        <w:rPr>
          <w:rFonts w:ascii="Times New Roman" w:eastAsia="Times New Roman" w:hAnsi="Times New Roman"/>
          <w:sz w:val="28"/>
        </w:rPr>
      </w:pPr>
    </w:p>
    <w:p w:rsidR="00F76399" w:rsidRPr="006860F7" w:rsidRDefault="00962F5C" w:rsidP="001C0AA7">
      <w:pPr>
        <w:spacing w:line="0" w:lineRule="atLeast"/>
        <w:ind w:right="-700"/>
        <w:rPr>
          <w:rFonts w:ascii="Times New Roman" w:eastAsia="Times New Roman" w:hAnsi="Times New Roman"/>
          <w:b/>
          <w:sz w:val="28"/>
        </w:rPr>
      </w:pPr>
      <w:r w:rsidRPr="006860F7">
        <w:rPr>
          <w:rFonts w:ascii="Times New Roman" w:eastAsia="Times New Roman" w:hAnsi="Times New Roman"/>
          <w:b/>
          <w:sz w:val="28"/>
        </w:rPr>
        <w:t>Кредиторская задолженность составила на 01.01.202</w:t>
      </w:r>
      <w:r w:rsidR="00576F84">
        <w:rPr>
          <w:rFonts w:ascii="Times New Roman" w:eastAsia="Times New Roman" w:hAnsi="Times New Roman"/>
          <w:b/>
          <w:sz w:val="28"/>
        </w:rPr>
        <w:t>3</w:t>
      </w:r>
      <w:r w:rsidRPr="006860F7">
        <w:rPr>
          <w:rFonts w:ascii="Times New Roman" w:eastAsia="Times New Roman" w:hAnsi="Times New Roman"/>
          <w:b/>
          <w:sz w:val="28"/>
        </w:rPr>
        <w:t xml:space="preserve"> год</w:t>
      </w:r>
      <w:r w:rsidR="00576F84">
        <w:rPr>
          <w:rFonts w:ascii="Times New Roman" w:eastAsia="Times New Roman" w:hAnsi="Times New Roman"/>
          <w:b/>
          <w:sz w:val="28"/>
        </w:rPr>
        <w:t xml:space="preserve"> </w:t>
      </w:r>
      <w:r w:rsidR="00200ED5" w:rsidRPr="006860F7">
        <w:rPr>
          <w:rFonts w:ascii="Times New Roman" w:eastAsia="Times New Roman" w:hAnsi="Times New Roman"/>
          <w:b/>
          <w:sz w:val="28"/>
        </w:rPr>
        <w:t xml:space="preserve"> </w:t>
      </w:r>
      <w:r w:rsidR="0018018E" w:rsidRPr="006860F7">
        <w:rPr>
          <w:rFonts w:ascii="Times New Roman" w:eastAsia="Times New Roman" w:hAnsi="Times New Roman"/>
          <w:b/>
          <w:sz w:val="28"/>
        </w:rPr>
        <w:t>– 198,3 тыс.руб</w:t>
      </w:r>
      <w:r w:rsidR="00576F84">
        <w:rPr>
          <w:rFonts w:ascii="Times New Roman" w:eastAsia="Times New Roman" w:hAnsi="Times New Roman"/>
          <w:b/>
          <w:sz w:val="28"/>
        </w:rPr>
        <w:t>.</w:t>
      </w:r>
    </w:p>
    <w:p w:rsidR="00F76399" w:rsidRPr="006860F7" w:rsidRDefault="00F76399" w:rsidP="00F76399">
      <w:pPr>
        <w:spacing w:line="0" w:lineRule="atLeast"/>
        <w:ind w:right="-70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962F5C" w:rsidRPr="006860F7" w:rsidRDefault="00962F5C" w:rsidP="00F76399">
      <w:pPr>
        <w:spacing w:line="0" w:lineRule="atLeast"/>
        <w:ind w:right="-700"/>
        <w:jc w:val="center"/>
        <w:rPr>
          <w:rFonts w:ascii="Times New Roman" w:eastAsia="Times New Roman" w:hAnsi="Times New Roman"/>
          <w:b/>
          <w:sz w:val="28"/>
        </w:rPr>
      </w:pPr>
    </w:p>
    <w:p w:rsidR="00E65003" w:rsidRDefault="00E65003" w:rsidP="00F76399">
      <w:pPr>
        <w:spacing w:line="0" w:lineRule="atLeast"/>
        <w:ind w:right="-700"/>
        <w:jc w:val="center"/>
        <w:rPr>
          <w:rFonts w:ascii="Times New Roman" w:eastAsia="Times New Roman" w:hAnsi="Times New Roman"/>
          <w:b/>
          <w:sz w:val="28"/>
        </w:rPr>
      </w:pPr>
    </w:p>
    <w:p w:rsidR="00E65003" w:rsidRDefault="00E65003" w:rsidP="00F76399">
      <w:pPr>
        <w:spacing w:line="0" w:lineRule="atLeast"/>
        <w:ind w:right="-700"/>
        <w:jc w:val="center"/>
        <w:rPr>
          <w:rFonts w:ascii="Times New Roman" w:eastAsia="Times New Roman" w:hAnsi="Times New Roman"/>
          <w:b/>
          <w:sz w:val="28"/>
        </w:rPr>
      </w:pPr>
    </w:p>
    <w:p w:rsidR="00F76399" w:rsidRPr="00962F5C" w:rsidRDefault="00F76399" w:rsidP="00F76399">
      <w:pPr>
        <w:spacing w:line="0" w:lineRule="atLeast"/>
        <w:ind w:right="-700"/>
        <w:jc w:val="center"/>
        <w:rPr>
          <w:rFonts w:ascii="Times New Roman" w:eastAsia="Times New Roman" w:hAnsi="Times New Roman"/>
          <w:b/>
          <w:sz w:val="28"/>
        </w:rPr>
      </w:pPr>
      <w:r w:rsidRPr="00962F5C">
        <w:rPr>
          <w:rFonts w:ascii="Times New Roman" w:eastAsia="Times New Roman" w:hAnsi="Times New Roman"/>
          <w:b/>
          <w:sz w:val="28"/>
        </w:rPr>
        <w:lastRenderedPageBreak/>
        <w:t>Выводы и предложения:</w:t>
      </w:r>
    </w:p>
    <w:p w:rsidR="00F76399" w:rsidRPr="00962F5C" w:rsidRDefault="00F76399" w:rsidP="00F76399">
      <w:pPr>
        <w:spacing w:line="6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spacing w:line="237" w:lineRule="auto"/>
        <w:ind w:left="1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F76399" w:rsidRDefault="00F76399" w:rsidP="00895A39">
      <w:pPr>
        <w:numPr>
          <w:ilvl w:val="0"/>
          <w:numId w:val="10"/>
        </w:numPr>
        <w:spacing w:line="237" w:lineRule="auto"/>
        <w:ind w:left="0" w:hanging="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Предоставленная для внешней проверки годовая бухгалтерская отчётность  отражающее  финансовое положение  Мизурского сельского поселения на 01.01.202</w:t>
      </w:r>
      <w:r w:rsidR="001C0AA7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года и результаты финансово-хозяйственной деятельности за период с 01.01.20</w:t>
      </w:r>
      <w:r w:rsidR="009A5755">
        <w:rPr>
          <w:rFonts w:ascii="Times New Roman" w:eastAsia="Times New Roman" w:hAnsi="Times New Roman"/>
          <w:sz w:val="28"/>
        </w:rPr>
        <w:t>2</w:t>
      </w:r>
      <w:r w:rsidR="001C0AA7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года по 31.12.20</w:t>
      </w:r>
      <w:r w:rsidR="009A5755">
        <w:rPr>
          <w:rFonts w:ascii="Times New Roman" w:eastAsia="Times New Roman" w:hAnsi="Times New Roman"/>
          <w:sz w:val="28"/>
        </w:rPr>
        <w:t>2</w:t>
      </w:r>
      <w:r w:rsidR="001C0AA7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года  не в полной  мере  соответствуют требованиям  бюджетного законодательства РФ ст.264.1, а также Инструкции 191-н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28.12.2010г., применяемого в части подготовки и предоставления  годового бухгалтерского отчёта и отчета об исполнении бюджета поселения для проведения Контрольно-счетной палатой Алагирского района экспертно-аналитического мероприятия.</w:t>
      </w:r>
      <w:r w:rsidR="001C0AA7">
        <w:rPr>
          <w:rFonts w:ascii="Times New Roman" w:eastAsia="Times New Roman" w:hAnsi="Times New Roman"/>
          <w:sz w:val="28"/>
        </w:rPr>
        <w:t xml:space="preserve">  В текстовой части  представленных  отчетов и документах имеются    многочисленные  ошибки  в т.ч.  и  арифметические.</w:t>
      </w:r>
    </w:p>
    <w:p w:rsidR="00F76399" w:rsidRDefault="00F76399" w:rsidP="00895A39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F76399" w:rsidRDefault="00F76399" w:rsidP="00895A39">
      <w:pPr>
        <w:numPr>
          <w:ilvl w:val="0"/>
          <w:numId w:val="10"/>
        </w:numPr>
        <w:tabs>
          <w:tab w:val="left" w:pos="576"/>
        </w:tabs>
        <w:spacing w:line="237" w:lineRule="auto"/>
        <w:ind w:left="0" w:hanging="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Пояснительную записку  формировать в  соответствии   с утвержденной формой  (ф. 0503160), утвержденной Инструкцией 191-н, с учетом вышеуказанных замечаний Контрольно-счетной палаты Алагирского района.  В пояснительной записке  и отчетах указывать </w:t>
      </w:r>
      <w:r w:rsidR="001C0AA7">
        <w:rPr>
          <w:rFonts w:ascii="Times New Roman" w:eastAsia="Times New Roman" w:hAnsi="Times New Roman"/>
          <w:sz w:val="28"/>
        </w:rPr>
        <w:t xml:space="preserve"> полную и </w:t>
      </w:r>
      <w:r>
        <w:rPr>
          <w:rFonts w:ascii="Times New Roman" w:eastAsia="Times New Roman" w:hAnsi="Times New Roman"/>
          <w:sz w:val="28"/>
        </w:rPr>
        <w:t xml:space="preserve"> достоверную информацию.          </w:t>
      </w:r>
    </w:p>
    <w:p w:rsidR="00F76399" w:rsidRDefault="00F76399" w:rsidP="00895A39">
      <w:pPr>
        <w:tabs>
          <w:tab w:val="left" w:pos="576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F76399" w:rsidRDefault="00F76399" w:rsidP="00895A39">
      <w:pPr>
        <w:numPr>
          <w:ilvl w:val="0"/>
          <w:numId w:val="10"/>
        </w:numPr>
        <w:tabs>
          <w:tab w:val="left" w:pos="576"/>
        </w:tabs>
        <w:spacing w:line="237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Планировать бюджет поселения в соответствии с  Бюджетным Кодексом РФ, на основе проведенных экономически эффективных анализов и прогнозирования социально-экономического развития Мизурского сельского поселения  для достижения поставленных задач.</w:t>
      </w:r>
    </w:p>
    <w:p w:rsidR="00F76399" w:rsidRDefault="00F76399" w:rsidP="00895A39">
      <w:pPr>
        <w:pStyle w:val="a3"/>
        <w:ind w:left="0"/>
        <w:rPr>
          <w:rFonts w:ascii="Times New Roman" w:eastAsia="Times New Roman" w:hAnsi="Times New Roman"/>
          <w:sz w:val="28"/>
        </w:rPr>
      </w:pPr>
    </w:p>
    <w:p w:rsidR="00F76399" w:rsidRPr="008620F4" w:rsidRDefault="00F76399" w:rsidP="00C200A2">
      <w:pPr>
        <w:numPr>
          <w:ilvl w:val="0"/>
          <w:numId w:val="10"/>
        </w:numPr>
        <w:tabs>
          <w:tab w:val="left" w:pos="576"/>
        </w:tabs>
        <w:spacing w:line="237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620F4">
        <w:rPr>
          <w:rFonts w:ascii="Times New Roman" w:eastAsia="Times New Roman" w:hAnsi="Times New Roman"/>
          <w:sz w:val="28"/>
        </w:rPr>
        <w:t xml:space="preserve">В основном бюджет  Мизурского сельского поселения  исполнен по доходам на </w:t>
      </w:r>
      <w:r w:rsidR="009A5755" w:rsidRPr="008620F4">
        <w:rPr>
          <w:rFonts w:ascii="Times New Roman" w:eastAsia="Times New Roman" w:hAnsi="Times New Roman"/>
          <w:sz w:val="28"/>
        </w:rPr>
        <w:t xml:space="preserve"> </w:t>
      </w:r>
      <w:r w:rsidR="00674DC2" w:rsidRPr="008620F4">
        <w:rPr>
          <w:rFonts w:ascii="Times New Roman" w:eastAsia="Times New Roman" w:hAnsi="Times New Roman"/>
          <w:sz w:val="28"/>
        </w:rPr>
        <w:t>7065,5</w:t>
      </w:r>
      <w:r w:rsidR="009A5755" w:rsidRPr="008620F4">
        <w:rPr>
          <w:rFonts w:ascii="Times New Roman" w:eastAsia="Times New Roman" w:hAnsi="Times New Roman"/>
          <w:sz w:val="28"/>
        </w:rPr>
        <w:t xml:space="preserve">  </w:t>
      </w:r>
      <w:r w:rsidRPr="008620F4">
        <w:rPr>
          <w:rFonts w:ascii="Times New Roman" w:eastAsia="Times New Roman" w:hAnsi="Times New Roman"/>
          <w:sz w:val="28"/>
        </w:rPr>
        <w:t xml:space="preserve"> тыс.руб или на </w:t>
      </w:r>
      <w:r w:rsidR="00674DC2" w:rsidRPr="008620F4">
        <w:rPr>
          <w:rFonts w:ascii="Times New Roman" w:eastAsia="Times New Roman" w:hAnsi="Times New Roman"/>
          <w:sz w:val="28"/>
        </w:rPr>
        <w:t xml:space="preserve">104,0 </w:t>
      </w:r>
      <w:r w:rsidRPr="008620F4">
        <w:rPr>
          <w:rFonts w:ascii="Times New Roman" w:eastAsia="Times New Roman" w:hAnsi="Times New Roman"/>
          <w:sz w:val="28"/>
        </w:rPr>
        <w:t xml:space="preserve">%, по расходам исполнен на </w:t>
      </w:r>
      <w:r w:rsidR="00674DC2" w:rsidRPr="008620F4">
        <w:rPr>
          <w:rFonts w:ascii="Times New Roman" w:eastAsia="Times New Roman" w:hAnsi="Times New Roman"/>
          <w:sz w:val="28"/>
        </w:rPr>
        <w:t>6932,8</w:t>
      </w:r>
      <w:r w:rsidRPr="008620F4">
        <w:rPr>
          <w:rFonts w:ascii="Times New Roman" w:eastAsia="Times New Roman" w:hAnsi="Times New Roman"/>
          <w:sz w:val="28"/>
        </w:rPr>
        <w:t xml:space="preserve"> тыс.руб. или на </w:t>
      </w:r>
      <w:r w:rsidR="00674DC2" w:rsidRPr="008620F4">
        <w:rPr>
          <w:rFonts w:ascii="Times New Roman" w:eastAsia="Times New Roman" w:hAnsi="Times New Roman"/>
          <w:sz w:val="28"/>
        </w:rPr>
        <w:t>86</w:t>
      </w:r>
      <w:r w:rsidRPr="008620F4">
        <w:rPr>
          <w:rFonts w:ascii="Times New Roman" w:eastAsia="Times New Roman" w:hAnsi="Times New Roman"/>
          <w:sz w:val="28"/>
        </w:rPr>
        <w:t xml:space="preserve">,0%, </w:t>
      </w:r>
      <w:r w:rsidR="00674DC2" w:rsidRPr="008620F4">
        <w:rPr>
          <w:rFonts w:ascii="Times New Roman" w:eastAsia="Times New Roman" w:hAnsi="Times New Roman"/>
          <w:sz w:val="28"/>
        </w:rPr>
        <w:t xml:space="preserve"> профицит </w:t>
      </w:r>
      <w:r w:rsidRPr="008620F4">
        <w:rPr>
          <w:rFonts w:ascii="Times New Roman" w:eastAsia="Times New Roman" w:hAnsi="Times New Roman"/>
          <w:sz w:val="28"/>
        </w:rPr>
        <w:t xml:space="preserve"> составил </w:t>
      </w:r>
      <w:r w:rsidR="00674DC2" w:rsidRPr="008620F4">
        <w:rPr>
          <w:rFonts w:ascii="Times New Roman" w:eastAsia="Times New Roman" w:hAnsi="Times New Roman"/>
          <w:sz w:val="28"/>
        </w:rPr>
        <w:t xml:space="preserve"> 132,7</w:t>
      </w:r>
      <w:r w:rsidRPr="008620F4">
        <w:rPr>
          <w:rFonts w:ascii="Times New Roman" w:eastAsia="Times New Roman" w:hAnsi="Times New Roman"/>
          <w:sz w:val="28"/>
        </w:rPr>
        <w:t>тыс.руб.,   имеет  социальную  направленность.</w:t>
      </w:r>
    </w:p>
    <w:p w:rsidR="00F76399" w:rsidRDefault="00F76399" w:rsidP="00895A39">
      <w:pPr>
        <w:pStyle w:val="a3"/>
        <w:ind w:left="0"/>
        <w:rPr>
          <w:rFonts w:ascii="Times New Roman" w:eastAsia="Times New Roman" w:hAnsi="Times New Roman"/>
          <w:sz w:val="28"/>
        </w:rPr>
      </w:pPr>
    </w:p>
    <w:p w:rsidR="00F76399" w:rsidRDefault="00F76399" w:rsidP="00895A39">
      <w:pPr>
        <w:numPr>
          <w:ilvl w:val="0"/>
          <w:numId w:val="10"/>
        </w:numPr>
        <w:tabs>
          <w:tab w:val="left" w:pos="576"/>
        </w:tabs>
        <w:spacing w:line="237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Исправить итоговые суммы в отчетности по исполнению доходной части бюджета за 20</w:t>
      </w:r>
      <w:r w:rsidR="009A5755">
        <w:rPr>
          <w:rFonts w:ascii="Times New Roman" w:eastAsia="Times New Roman" w:hAnsi="Times New Roman"/>
          <w:sz w:val="28"/>
        </w:rPr>
        <w:t>2</w:t>
      </w:r>
      <w:r w:rsidR="00895A39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год. Также  провести исправления в  пояснительной записке. Отчеты предоставлять в полном объеме в  соответствии со  ст. 264.2 Бюджетного законодательства Российской Федерации,  и в соответствии  с утвержденной Инструкцией МинФин РФ 191-н. </w:t>
      </w:r>
    </w:p>
    <w:p w:rsidR="00576F84" w:rsidRDefault="00576F84" w:rsidP="00576F84">
      <w:pPr>
        <w:pStyle w:val="a3"/>
        <w:rPr>
          <w:rFonts w:ascii="Times New Roman" w:eastAsia="Times New Roman" w:hAnsi="Times New Roman"/>
          <w:sz w:val="28"/>
        </w:rPr>
      </w:pPr>
    </w:p>
    <w:p w:rsidR="00576F84" w:rsidRDefault="00576F84" w:rsidP="00576F84">
      <w:pPr>
        <w:numPr>
          <w:ilvl w:val="0"/>
          <w:numId w:val="10"/>
        </w:numPr>
        <w:tabs>
          <w:tab w:val="left" w:pos="576"/>
        </w:tabs>
        <w:spacing w:line="237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576F84">
        <w:rPr>
          <w:rFonts w:ascii="Times New Roman" w:eastAsia="Times New Roman" w:hAnsi="Times New Roman"/>
          <w:sz w:val="28"/>
        </w:rPr>
        <w:t xml:space="preserve">Сумма неиспользованная при исполнении бюджета Мизурского сельского поселения в размере 1603,7 тыс.руб., является неэффективным расходованием бюджетных средств.  </w:t>
      </w:r>
    </w:p>
    <w:p w:rsidR="00895A39" w:rsidRDefault="00895A39" w:rsidP="00895A39">
      <w:pPr>
        <w:pStyle w:val="a3"/>
        <w:rPr>
          <w:rFonts w:ascii="Times New Roman" w:eastAsia="Times New Roman" w:hAnsi="Times New Roman"/>
          <w:sz w:val="28"/>
        </w:rPr>
      </w:pPr>
    </w:p>
    <w:p w:rsidR="00895A39" w:rsidRDefault="00895A39" w:rsidP="00895A39">
      <w:pPr>
        <w:tabs>
          <w:tab w:val="left" w:pos="576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D40A0B">
        <w:rPr>
          <w:rFonts w:ascii="Times New Roman" w:eastAsia="Times New Roman" w:hAnsi="Times New Roman"/>
          <w:b/>
          <w:sz w:val="28"/>
        </w:rPr>
        <w:t>Контрольно-счетная палата рекомендует</w:t>
      </w:r>
      <w:r>
        <w:rPr>
          <w:rFonts w:ascii="Times New Roman" w:eastAsia="Times New Roman" w:hAnsi="Times New Roman"/>
          <w:sz w:val="28"/>
        </w:rPr>
        <w:t xml:space="preserve">: перед составлением бухгалтерской и иной отчетности и  составлением нормативно-правовых актов изучать  </w:t>
      </w:r>
      <w:r>
        <w:rPr>
          <w:rFonts w:ascii="Times New Roman" w:eastAsia="Times New Roman" w:hAnsi="Times New Roman"/>
          <w:sz w:val="28"/>
        </w:rPr>
        <w:lastRenderedPageBreak/>
        <w:t>соответствующие  федеральные</w:t>
      </w:r>
      <w:r w:rsidR="001F302A">
        <w:rPr>
          <w:rFonts w:ascii="Times New Roman" w:eastAsia="Times New Roman" w:hAnsi="Times New Roman"/>
          <w:sz w:val="28"/>
        </w:rPr>
        <w:t>, р</w:t>
      </w:r>
      <w:r>
        <w:rPr>
          <w:rFonts w:ascii="Times New Roman" w:eastAsia="Times New Roman" w:hAnsi="Times New Roman"/>
          <w:sz w:val="28"/>
        </w:rPr>
        <w:t>еспубликанские закон</w:t>
      </w:r>
      <w:r w:rsidR="001F302A">
        <w:rPr>
          <w:rFonts w:ascii="Times New Roman" w:eastAsia="Times New Roman" w:hAnsi="Times New Roman"/>
          <w:sz w:val="28"/>
        </w:rPr>
        <w:t>одательства</w:t>
      </w:r>
      <w:r>
        <w:rPr>
          <w:rFonts w:ascii="Times New Roman" w:eastAsia="Times New Roman" w:hAnsi="Times New Roman"/>
          <w:sz w:val="28"/>
        </w:rPr>
        <w:t xml:space="preserve"> и внесенные изменения </w:t>
      </w:r>
      <w:r w:rsidR="004254DB"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ним</w:t>
      </w:r>
      <w:r w:rsidR="004254DB">
        <w:rPr>
          <w:rFonts w:ascii="Times New Roman" w:eastAsia="Times New Roman" w:hAnsi="Times New Roman"/>
          <w:sz w:val="28"/>
        </w:rPr>
        <w:t>.</w:t>
      </w:r>
    </w:p>
    <w:p w:rsidR="00F76399" w:rsidRDefault="00F76399" w:rsidP="00F76399">
      <w:pPr>
        <w:tabs>
          <w:tab w:val="left" w:pos="576"/>
          <w:tab w:val="left" w:pos="3997"/>
        </w:tabs>
        <w:spacing w:line="237" w:lineRule="auto"/>
        <w:ind w:left="56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</w:rPr>
        <w:t>Заключение:</w:t>
      </w:r>
    </w:p>
    <w:p w:rsidR="00F76399" w:rsidRDefault="00F76399" w:rsidP="00F76399">
      <w:pPr>
        <w:spacing w:line="17" w:lineRule="exact"/>
        <w:rPr>
          <w:rFonts w:ascii="Times New Roman" w:eastAsia="Times New Roman" w:hAnsi="Times New Roman"/>
        </w:rPr>
      </w:pPr>
    </w:p>
    <w:p w:rsidR="00F76399" w:rsidRDefault="00F76399" w:rsidP="00F76399">
      <w:pPr>
        <w:rPr>
          <w:sz w:val="22"/>
        </w:rPr>
      </w:pPr>
    </w:p>
    <w:p w:rsidR="00F76399" w:rsidRDefault="00F76399" w:rsidP="00F763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4" w:name="page10"/>
      <w:bookmarkEnd w:id="4"/>
      <w:r>
        <w:rPr>
          <w:rFonts w:ascii="Times New Roman" w:eastAsia="Times New Roman" w:hAnsi="Times New Roman"/>
          <w:sz w:val="28"/>
        </w:rPr>
        <w:t>Контрольно-счётная палата Алагирского района  рекомендует проект решения  Собрания представителей   Мизурского  сельского поселения «Об исполнении бюджета  Мизурского  сельского поселения за 20</w:t>
      </w:r>
      <w:r w:rsidR="009A5755">
        <w:rPr>
          <w:rFonts w:ascii="Times New Roman" w:eastAsia="Times New Roman" w:hAnsi="Times New Roman"/>
          <w:sz w:val="28"/>
        </w:rPr>
        <w:t>2</w:t>
      </w:r>
      <w:r w:rsidR="00895A39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год» к утверждению с учетом выявленных замечаний и устранений  допущенных ошибок.</w:t>
      </w:r>
    </w:p>
    <w:p w:rsidR="00F76399" w:rsidRDefault="00F76399" w:rsidP="00F763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F76399" w:rsidRDefault="00F76399" w:rsidP="00F76399">
      <w:pPr>
        <w:spacing w:line="366" w:lineRule="exact"/>
        <w:rPr>
          <w:rFonts w:ascii="Times New Roman" w:eastAsia="Times New Roman" w:hAnsi="Times New Roman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683"/>
      </w:tblGrid>
      <w:tr w:rsidR="00F76399" w:rsidTr="007328AC">
        <w:trPr>
          <w:trHeight w:val="322"/>
        </w:trPr>
        <w:tc>
          <w:tcPr>
            <w:tcW w:w="6240" w:type="dxa"/>
            <w:vAlign w:val="bottom"/>
            <w:hideMark/>
          </w:tcPr>
          <w:p w:rsidR="00F76399" w:rsidRDefault="00895A3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3683" w:type="dxa"/>
            <w:vAlign w:val="bottom"/>
          </w:tcPr>
          <w:p w:rsidR="00F76399" w:rsidRDefault="00F763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6399" w:rsidTr="007328AC">
        <w:trPr>
          <w:trHeight w:val="370"/>
        </w:trPr>
        <w:tc>
          <w:tcPr>
            <w:tcW w:w="6240" w:type="dxa"/>
            <w:vAlign w:val="bottom"/>
            <w:hideMark/>
          </w:tcPr>
          <w:p w:rsidR="00F76399" w:rsidRDefault="00F76399" w:rsidP="00895A3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Контрольно-счётной палаты</w:t>
            </w:r>
          </w:p>
          <w:p w:rsidR="00895A39" w:rsidRDefault="00895A39" w:rsidP="00895A3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Алагирского района</w:t>
            </w:r>
          </w:p>
        </w:tc>
        <w:tc>
          <w:tcPr>
            <w:tcW w:w="3683" w:type="dxa"/>
            <w:vAlign w:val="bottom"/>
            <w:hideMark/>
          </w:tcPr>
          <w:p w:rsidR="00F76399" w:rsidRDefault="00F76399">
            <w:pPr>
              <w:spacing w:line="0" w:lineRule="atLeast"/>
              <w:ind w:left="112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М.А.Зарасова</w:t>
            </w:r>
          </w:p>
        </w:tc>
      </w:tr>
    </w:tbl>
    <w:p w:rsidR="00F76399" w:rsidRDefault="00F76399" w:rsidP="00F76399">
      <w:pPr>
        <w:spacing w:line="200" w:lineRule="exact"/>
        <w:rPr>
          <w:rFonts w:ascii="Times New Roman" w:eastAsia="Times New Roman" w:hAnsi="Times New Roman"/>
        </w:rPr>
      </w:pPr>
    </w:p>
    <w:p w:rsidR="00314C09" w:rsidRDefault="00314C09"/>
    <w:sectPr w:rsidR="00314C09" w:rsidSect="00752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51" w:rsidRDefault="009F4F51" w:rsidP="003A69A0">
      <w:r>
        <w:separator/>
      </w:r>
    </w:p>
  </w:endnote>
  <w:endnote w:type="continuationSeparator" w:id="0">
    <w:p w:rsidR="009F4F51" w:rsidRDefault="009F4F51" w:rsidP="003A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51" w:rsidRDefault="009F4F51" w:rsidP="003A69A0">
      <w:r>
        <w:separator/>
      </w:r>
    </w:p>
  </w:footnote>
  <w:footnote w:type="continuationSeparator" w:id="0">
    <w:p w:rsidR="009F4F51" w:rsidRDefault="009F4F51" w:rsidP="003A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1220085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4DB127F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B"/>
    <w:multiLevelType w:val="hybridMultilevel"/>
    <w:tmpl w:val="3352255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425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C"/>
    <w:multiLevelType w:val="hybridMultilevel"/>
    <w:tmpl w:val="109CF9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D"/>
    <w:multiLevelType w:val="hybridMultilevel"/>
    <w:tmpl w:val="0DED726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E"/>
    <w:multiLevelType w:val="hybridMultilevel"/>
    <w:tmpl w:val="7FDCC23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7522A66"/>
    <w:multiLevelType w:val="hybridMultilevel"/>
    <w:tmpl w:val="3D7663B6"/>
    <w:lvl w:ilvl="0" w:tplc="0C489C22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9"/>
    <w:rsid w:val="00000767"/>
    <w:rsid w:val="0001098A"/>
    <w:rsid w:val="00036491"/>
    <w:rsid w:val="00036EB8"/>
    <w:rsid w:val="00043AF4"/>
    <w:rsid w:val="00046F8C"/>
    <w:rsid w:val="000576D6"/>
    <w:rsid w:val="00090230"/>
    <w:rsid w:val="000A462F"/>
    <w:rsid w:val="000B3419"/>
    <w:rsid w:val="000E06F6"/>
    <w:rsid w:val="00106921"/>
    <w:rsid w:val="00115F8E"/>
    <w:rsid w:val="0013688A"/>
    <w:rsid w:val="001377F8"/>
    <w:rsid w:val="00146D74"/>
    <w:rsid w:val="00155852"/>
    <w:rsid w:val="001673CA"/>
    <w:rsid w:val="0018018E"/>
    <w:rsid w:val="001C0AA7"/>
    <w:rsid w:val="001C6F02"/>
    <w:rsid w:val="001E1EBF"/>
    <w:rsid w:val="001E2364"/>
    <w:rsid w:val="001F0DD2"/>
    <w:rsid w:val="001F302A"/>
    <w:rsid w:val="001F5748"/>
    <w:rsid w:val="00200ED5"/>
    <w:rsid w:val="00205E4C"/>
    <w:rsid w:val="00240D12"/>
    <w:rsid w:val="00272FDA"/>
    <w:rsid w:val="002859B3"/>
    <w:rsid w:val="00286E67"/>
    <w:rsid w:val="002A4599"/>
    <w:rsid w:val="002C0ABE"/>
    <w:rsid w:val="002D6B23"/>
    <w:rsid w:val="00314C09"/>
    <w:rsid w:val="00321733"/>
    <w:rsid w:val="00321C00"/>
    <w:rsid w:val="00334683"/>
    <w:rsid w:val="003440AA"/>
    <w:rsid w:val="003842A7"/>
    <w:rsid w:val="0039430D"/>
    <w:rsid w:val="00397E28"/>
    <w:rsid w:val="003A69A0"/>
    <w:rsid w:val="003D387D"/>
    <w:rsid w:val="003E189D"/>
    <w:rsid w:val="003E269A"/>
    <w:rsid w:val="003F7DB7"/>
    <w:rsid w:val="003F7F4B"/>
    <w:rsid w:val="00421D4B"/>
    <w:rsid w:val="004254DB"/>
    <w:rsid w:val="00454EBF"/>
    <w:rsid w:val="004559BC"/>
    <w:rsid w:val="004610D7"/>
    <w:rsid w:val="00481ABD"/>
    <w:rsid w:val="00486F49"/>
    <w:rsid w:val="004A29B6"/>
    <w:rsid w:val="004B5F25"/>
    <w:rsid w:val="004C171E"/>
    <w:rsid w:val="004E0B8D"/>
    <w:rsid w:val="004F1043"/>
    <w:rsid w:val="005053D1"/>
    <w:rsid w:val="005123AE"/>
    <w:rsid w:val="0051309B"/>
    <w:rsid w:val="00576F84"/>
    <w:rsid w:val="005A6B96"/>
    <w:rsid w:val="005A7BD1"/>
    <w:rsid w:val="005B40AC"/>
    <w:rsid w:val="0060582B"/>
    <w:rsid w:val="00607090"/>
    <w:rsid w:val="006529D0"/>
    <w:rsid w:val="00653828"/>
    <w:rsid w:val="00666B41"/>
    <w:rsid w:val="00670604"/>
    <w:rsid w:val="00674DC2"/>
    <w:rsid w:val="006860F7"/>
    <w:rsid w:val="006873C1"/>
    <w:rsid w:val="00694EB7"/>
    <w:rsid w:val="006A1050"/>
    <w:rsid w:val="006A471A"/>
    <w:rsid w:val="006E1A32"/>
    <w:rsid w:val="006E45A8"/>
    <w:rsid w:val="007023A0"/>
    <w:rsid w:val="007328AC"/>
    <w:rsid w:val="00744FB8"/>
    <w:rsid w:val="007526C8"/>
    <w:rsid w:val="007760DE"/>
    <w:rsid w:val="00781342"/>
    <w:rsid w:val="007928E2"/>
    <w:rsid w:val="00817FCE"/>
    <w:rsid w:val="0086085F"/>
    <w:rsid w:val="008620F4"/>
    <w:rsid w:val="00895A39"/>
    <w:rsid w:val="008B275F"/>
    <w:rsid w:val="008C1D97"/>
    <w:rsid w:val="008D3805"/>
    <w:rsid w:val="008F2094"/>
    <w:rsid w:val="008F25AD"/>
    <w:rsid w:val="008F2D67"/>
    <w:rsid w:val="008F3F0E"/>
    <w:rsid w:val="008F47B5"/>
    <w:rsid w:val="008F5538"/>
    <w:rsid w:val="00904691"/>
    <w:rsid w:val="009258F3"/>
    <w:rsid w:val="00962F5C"/>
    <w:rsid w:val="00963CCA"/>
    <w:rsid w:val="009A0D22"/>
    <w:rsid w:val="009A5755"/>
    <w:rsid w:val="009A7A9E"/>
    <w:rsid w:val="009B55D3"/>
    <w:rsid w:val="009C78C9"/>
    <w:rsid w:val="009D23D9"/>
    <w:rsid w:val="009F4F51"/>
    <w:rsid w:val="00A32B11"/>
    <w:rsid w:val="00A33815"/>
    <w:rsid w:val="00A36982"/>
    <w:rsid w:val="00A4346A"/>
    <w:rsid w:val="00A45B06"/>
    <w:rsid w:val="00A52868"/>
    <w:rsid w:val="00A63396"/>
    <w:rsid w:val="00A70C8B"/>
    <w:rsid w:val="00A93178"/>
    <w:rsid w:val="00AC5F12"/>
    <w:rsid w:val="00AF1877"/>
    <w:rsid w:val="00B5639B"/>
    <w:rsid w:val="00B65A38"/>
    <w:rsid w:val="00B7412E"/>
    <w:rsid w:val="00B77E15"/>
    <w:rsid w:val="00B80A74"/>
    <w:rsid w:val="00B822FF"/>
    <w:rsid w:val="00B83B27"/>
    <w:rsid w:val="00BA2E89"/>
    <w:rsid w:val="00BB50E6"/>
    <w:rsid w:val="00BC02BC"/>
    <w:rsid w:val="00BF14AC"/>
    <w:rsid w:val="00C233A3"/>
    <w:rsid w:val="00C62E48"/>
    <w:rsid w:val="00C72738"/>
    <w:rsid w:val="00CB5786"/>
    <w:rsid w:val="00CD308D"/>
    <w:rsid w:val="00CD4A00"/>
    <w:rsid w:val="00CE676B"/>
    <w:rsid w:val="00CF7038"/>
    <w:rsid w:val="00D03A47"/>
    <w:rsid w:val="00D34967"/>
    <w:rsid w:val="00D40A0B"/>
    <w:rsid w:val="00D67045"/>
    <w:rsid w:val="00D850F6"/>
    <w:rsid w:val="00D9697E"/>
    <w:rsid w:val="00DA11B5"/>
    <w:rsid w:val="00DA32DE"/>
    <w:rsid w:val="00DA5B22"/>
    <w:rsid w:val="00DA7825"/>
    <w:rsid w:val="00E34248"/>
    <w:rsid w:val="00E41D3F"/>
    <w:rsid w:val="00E65003"/>
    <w:rsid w:val="00E65A75"/>
    <w:rsid w:val="00E82AE3"/>
    <w:rsid w:val="00E86E46"/>
    <w:rsid w:val="00E97988"/>
    <w:rsid w:val="00EB7257"/>
    <w:rsid w:val="00EC1241"/>
    <w:rsid w:val="00ED14A6"/>
    <w:rsid w:val="00F21E47"/>
    <w:rsid w:val="00F30B48"/>
    <w:rsid w:val="00F3471A"/>
    <w:rsid w:val="00F47F86"/>
    <w:rsid w:val="00F601CC"/>
    <w:rsid w:val="00F76399"/>
    <w:rsid w:val="00F950B7"/>
    <w:rsid w:val="00FA031B"/>
    <w:rsid w:val="00FA20A5"/>
    <w:rsid w:val="00FD3BCA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3DE2-8268-421F-868C-EFD8FF4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3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3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6399"/>
    <w:pPr>
      <w:ind w:left="708"/>
    </w:pPr>
  </w:style>
  <w:style w:type="table" w:styleId="a4">
    <w:name w:val="Table Grid"/>
    <w:basedOn w:val="a1"/>
    <w:uiPriority w:val="39"/>
    <w:rsid w:val="00A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9A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A6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9A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E571-B889-4CFF-B3C6-BD0258D1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2021-05-21T10:03:00Z</dcterms:created>
  <dcterms:modified xsi:type="dcterms:W3CDTF">2023-07-04T12:59:00Z</dcterms:modified>
</cp:coreProperties>
</file>